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15" w:rightChars="-150"/>
        <w:jc w:val="center"/>
        <w:rPr>
          <w:rFonts w:ascii="仿宋" w:hAnsi="仿宋" w:eastAsia="仿宋" w:cs="仿宋"/>
          <w:b/>
          <w:bCs/>
          <w:color w:val="auto"/>
          <w:sz w:val="92"/>
          <w:szCs w:val="92"/>
          <w:highlight w:val="none"/>
          <w:u w:val="single"/>
          <w:vertAlign w:val="subscript"/>
        </w:rPr>
      </w:pPr>
    </w:p>
    <w:p>
      <w:pPr>
        <w:spacing w:line="400" w:lineRule="atLeast"/>
        <w:jc w:val="center"/>
        <w:rPr>
          <w:rFonts w:hint="eastAsia" w:ascii="仿宋" w:hAnsi="仿宋" w:eastAsia="仿宋" w:cs="仿宋"/>
          <w:b/>
          <w:bCs/>
          <w:color w:val="auto"/>
          <w:spacing w:val="-10"/>
          <w:sz w:val="52"/>
          <w:szCs w:val="52"/>
          <w:highlight w:val="none"/>
          <w:lang w:eastAsia="zh-CN"/>
        </w:rPr>
      </w:pPr>
      <w:r>
        <w:rPr>
          <w:rFonts w:hint="eastAsia" w:ascii="仿宋" w:hAnsi="仿宋" w:eastAsia="仿宋" w:cs="仿宋"/>
          <w:b/>
          <w:bCs/>
          <w:color w:val="auto"/>
          <w:spacing w:val="-10"/>
          <w:sz w:val="52"/>
          <w:szCs w:val="52"/>
          <w:highlight w:val="none"/>
          <w:lang w:eastAsia="zh-CN"/>
        </w:rPr>
        <w:t>亭城玺悦里基坑监测、沉降观测项目</w:t>
      </w:r>
    </w:p>
    <w:p>
      <w:pPr>
        <w:spacing w:line="400" w:lineRule="atLeast"/>
        <w:jc w:val="center"/>
        <w:rPr>
          <w:rFonts w:ascii="仿宋" w:hAnsi="仿宋" w:eastAsia="仿宋" w:cs="仿宋"/>
          <w:b/>
          <w:bCs/>
          <w:color w:val="auto"/>
          <w:sz w:val="98"/>
          <w:szCs w:val="98"/>
          <w:highlight w:val="none"/>
        </w:rPr>
      </w:pPr>
    </w:p>
    <w:p>
      <w:pPr>
        <w:spacing w:line="400" w:lineRule="atLeast"/>
        <w:jc w:val="center"/>
        <w:rPr>
          <w:rFonts w:ascii="仿宋" w:hAnsi="仿宋" w:eastAsia="仿宋" w:cs="仿宋"/>
          <w:b/>
          <w:bCs/>
          <w:color w:val="auto"/>
          <w:sz w:val="98"/>
          <w:szCs w:val="98"/>
          <w:highlight w:val="none"/>
        </w:rPr>
      </w:pPr>
      <w:r>
        <w:rPr>
          <w:rFonts w:hint="eastAsia" w:ascii="仿宋" w:hAnsi="仿宋" w:eastAsia="仿宋" w:cs="仿宋"/>
          <w:b/>
          <w:bCs/>
          <w:color w:val="auto"/>
          <w:sz w:val="98"/>
          <w:szCs w:val="98"/>
          <w:highlight w:val="none"/>
        </w:rPr>
        <w:t>招标文件</w:t>
      </w:r>
    </w:p>
    <w:p>
      <w:pPr>
        <w:spacing w:line="480" w:lineRule="exact"/>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32"/>
          <w:szCs w:val="32"/>
          <w:highlight w:val="none"/>
          <w:lang w:val="en-US" w:eastAsia="zh-CN"/>
        </w:rPr>
        <w:t xml:space="preserve"> </w:t>
      </w:r>
    </w:p>
    <w:p>
      <w:pPr>
        <w:spacing w:line="480" w:lineRule="exact"/>
        <w:ind w:firstLine="643" w:firstLineChars="200"/>
        <w:jc w:val="center"/>
        <w:rPr>
          <w:rFonts w:ascii="仿宋" w:hAnsi="仿宋" w:eastAsia="仿宋" w:cs="仿宋"/>
          <w:b/>
          <w:bCs/>
          <w:color w:val="auto"/>
          <w:sz w:val="32"/>
          <w:szCs w:val="32"/>
          <w:highlight w:val="none"/>
        </w:rPr>
      </w:pPr>
    </w:p>
    <w:p>
      <w:pPr>
        <w:spacing w:line="480" w:lineRule="exact"/>
        <w:ind w:firstLine="472" w:firstLineChars="147"/>
        <w:rPr>
          <w:rFonts w:ascii="仿宋" w:hAnsi="仿宋" w:eastAsia="仿宋" w:cs="仿宋"/>
          <w:b/>
          <w:bCs/>
          <w:color w:val="auto"/>
          <w:sz w:val="32"/>
          <w:szCs w:val="32"/>
          <w:highlight w:val="none"/>
        </w:rPr>
      </w:pPr>
    </w:p>
    <w:p>
      <w:pPr>
        <w:spacing w:line="480" w:lineRule="exact"/>
        <w:ind w:firstLine="472" w:firstLineChars="147"/>
        <w:rPr>
          <w:rFonts w:ascii="仿宋" w:hAnsi="仿宋" w:eastAsia="仿宋" w:cs="仿宋"/>
          <w:b/>
          <w:bCs/>
          <w:color w:val="auto"/>
          <w:sz w:val="32"/>
          <w:szCs w:val="32"/>
          <w:highlight w:val="none"/>
        </w:rPr>
      </w:pPr>
    </w:p>
    <w:p>
      <w:pPr>
        <w:spacing w:line="480" w:lineRule="exact"/>
        <w:rPr>
          <w:rFonts w:ascii="仿宋" w:hAnsi="仿宋" w:eastAsia="仿宋" w:cs="仿宋"/>
          <w:b/>
          <w:bCs/>
          <w:color w:val="auto"/>
          <w:sz w:val="32"/>
          <w:szCs w:val="32"/>
          <w:highlight w:val="none"/>
        </w:rPr>
      </w:pPr>
    </w:p>
    <w:p>
      <w:pPr>
        <w:spacing w:line="480" w:lineRule="exact"/>
        <w:rPr>
          <w:rFonts w:ascii="仿宋" w:hAnsi="仿宋" w:eastAsia="仿宋" w:cs="仿宋"/>
          <w:b/>
          <w:bCs/>
          <w:color w:val="auto"/>
          <w:sz w:val="32"/>
          <w:szCs w:val="32"/>
          <w:highlight w:val="none"/>
        </w:rPr>
      </w:pPr>
    </w:p>
    <w:p>
      <w:pPr>
        <w:spacing w:line="480" w:lineRule="exact"/>
        <w:ind w:firstLine="472" w:firstLineChars="147"/>
        <w:rPr>
          <w:rFonts w:ascii="仿宋" w:hAnsi="仿宋" w:eastAsia="仿宋" w:cs="仿宋"/>
          <w:b/>
          <w:bCs/>
          <w:color w:val="auto"/>
          <w:sz w:val="32"/>
          <w:szCs w:val="32"/>
          <w:highlight w:val="none"/>
        </w:rPr>
      </w:pPr>
    </w:p>
    <w:p>
      <w:pPr>
        <w:rPr>
          <w:rFonts w:ascii="仿宋" w:hAnsi="仿宋" w:eastAsia="仿宋" w:cs="仿宋"/>
          <w:color w:val="auto"/>
          <w:highlight w:val="none"/>
        </w:rPr>
      </w:pPr>
    </w:p>
    <w:p>
      <w:pPr>
        <w:rPr>
          <w:rFonts w:ascii="仿宋" w:hAnsi="仿宋" w:eastAsia="仿宋" w:cs="仿宋"/>
          <w:b/>
          <w:bCs/>
          <w:color w:val="auto"/>
          <w:sz w:val="32"/>
          <w:szCs w:val="32"/>
          <w:highlight w:val="none"/>
        </w:rPr>
      </w:pPr>
    </w:p>
    <w:p>
      <w:pPr>
        <w:spacing w:line="480" w:lineRule="exact"/>
        <w:rPr>
          <w:rFonts w:ascii="仿宋" w:hAnsi="仿宋" w:eastAsia="仿宋" w:cs="仿宋"/>
          <w:b/>
          <w:bCs/>
          <w:color w:val="auto"/>
          <w:sz w:val="32"/>
          <w:szCs w:val="32"/>
          <w:highlight w:val="none"/>
        </w:rPr>
      </w:pPr>
    </w:p>
    <w:p>
      <w:pPr>
        <w:spacing w:line="480" w:lineRule="exact"/>
        <w:ind w:firstLine="472" w:firstLineChars="147"/>
        <w:rPr>
          <w:rFonts w:ascii="仿宋" w:hAnsi="仿宋" w:eastAsia="仿宋" w:cs="仿宋"/>
          <w:b/>
          <w:bCs/>
          <w:color w:val="auto"/>
          <w:sz w:val="32"/>
          <w:szCs w:val="32"/>
          <w:highlight w:val="none"/>
        </w:rPr>
      </w:pPr>
    </w:p>
    <w:p>
      <w:pPr>
        <w:wordWrap w:val="0"/>
        <w:spacing w:line="800" w:lineRule="exact"/>
        <w:ind w:right="480" w:firstLine="320" w:firstLineChars="100"/>
        <w:rPr>
          <w:rFonts w:ascii="宋体" w:cs="宋体"/>
          <w:color w:val="auto"/>
          <w:sz w:val="32"/>
          <w:highlight w:val="none"/>
        </w:rPr>
      </w:pPr>
      <w:r>
        <w:rPr>
          <w:rFonts w:hint="eastAsia" w:ascii="宋体" w:cs="宋体"/>
          <w:color w:val="auto"/>
          <w:sz w:val="32"/>
          <w:highlight w:val="none"/>
          <w:lang w:val="en-US" w:eastAsia="zh-CN"/>
        </w:rPr>
        <w:t>招标</w:t>
      </w:r>
      <w:r>
        <w:rPr>
          <w:rFonts w:hint="eastAsia" w:ascii="宋体" w:cs="宋体"/>
          <w:color w:val="auto"/>
          <w:sz w:val="32"/>
          <w:highlight w:val="none"/>
        </w:rPr>
        <w:t>单位</w:t>
      </w:r>
      <w:r>
        <w:rPr>
          <w:rFonts w:ascii="宋体" w:cs="宋体"/>
          <w:color w:val="auto"/>
          <w:sz w:val="32"/>
          <w:highlight w:val="none"/>
        </w:rPr>
        <w:t xml:space="preserve"> </w:t>
      </w:r>
      <w:r>
        <w:rPr>
          <w:rFonts w:hint="eastAsia" w:ascii="宋体" w:cs="宋体"/>
          <w:color w:val="auto"/>
          <w:sz w:val="32"/>
          <w:highlight w:val="none"/>
        </w:rPr>
        <w:t>：</w:t>
      </w:r>
      <w:r>
        <w:rPr>
          <w:rFonts w:ascii="宋体" w:cs="宋体"/>
          <w:color w:val="auto"/>
          <w:sz w:val="32"/>
          <w:highlight w:val="none"/>
          <w:u w:val="single"/>
        </w:rPr>
        <w:t xml:space="preserve"> </w:t>
      </w:r>
      <w:r>
        <w:rPr>
          <w:rFonts w:hint="eastAsia" w:ascii="宋体" w:cs="宋体"/>
          <w:color w:val="auto"/>
          <w:sz w:val="32"/>
          <w:highlight w:val="none"/>
          <w:u w:val="single"/>
          <w:lang w:val="en-US" w:eastAsia="zh-CN"/>
        </w:rPr>
        <w:t>滁州市鑫鼎城市更新建设运营有限公司</w:t>
      </w:r>
      <w:r>
        <w:rPr>
          <w:rFonts w:hint="eastAsia" w:ascii="宋体" w:cs="宋体"/>
          <w:color w:val="auto"/>
          <w:sz w:val="30"/>
          <w:szCs w:val="30"/>
          <w:highlight w:val="none"/>
          <w:u w:val="single"/>
          <w:lang w:val="en-US" w:eastAsia="zh-CN"/>
        </w:rPr>
        <w:t xml:space="preserve"> </w:t>
      </w:r>
      <w:r>
        <w:rPr>
          <w:rFonts w:ascii="宋体" w:cs="宋体"/>
          <w:color w:val="auto"/>
          <w:sz w:val="30"/>
          <w:szCs w:val="30"/>
          <w:highlight w:val="none"/>
          <w:u w:val="single"/>
        </w:rPr>
        <w:t xml:space="preserve"> </w:t>
      </w:r>
      <w:r>
        <w:rPr>
          <w:rFonts w:hint="eastAsia" w:ascii="宋体" w:cs="宋体"/>
          <w:color w:val="auto"/>
          <w:sz w:val="32"/>
          <w:highlight w:val="none"/>
          <w:u w:val="single"/>
        </w:rPr>
        <w:t>（盖章）</w:t>
      </w:r>
    </w:p>
    <w:p>
      <w:pPr>
        <w:spacing w:line="800" w:lineRule="exact"/>
        <w:ind w:firstLine="320" w:firstLineChars="100"/>
        <w:rPr>
          <w:rFonts w:ascii="宋体" w:cs="宋体"/>
          <w:color w:val="auto"/>
          <w:sz w:val="32"/>
          <w:highlight w:val="none"/>
          <w:u w:val="single"/>
        </w:rPr>
      </w:pPr>
      <w:r>
        <w:rPr>
          <w:rFonts w:hint="eastAsia" w:ascii="宋体" w:cs="宋体"/>
          <w:color w:val="auto"/>
          <w:sz w:val="32"/>
          <w:highlight w:val="none"/>
        </w:rPr>
        <w:t>代理机构：</w:t>
      </w:r>
      <w:r>
        <w:rPr>
          <w:rFonts w:ascii="宋体" w:cs="宋体"/>
          <w:color w:val="auto"/>
          <w:sz w:val="32"/>
          <w:highlight w:val="none"/>
          <w:u w:val="single"/>
        </w:rPr>
        <w:t xml:space="preserve">    </w:t>
      </w:r>
      <w:r>
        <w:rPr>
          <w:rFonts w:hint="eastAsia" w:ascii="宋体" w:cs="宋体"/>
          <w:color w:val="auto"/>
          <w:sz w:val="32"/>
          <w:highlight w:val="none"/>
          <w:u w:val="single"/>
        </w:rPr>
        <w:t>滁州市城投工程咨询管理有限公司</w:t>
      </w:r>
      <w:r>
        <w:rPr>
          <w:rFonts w:ascii="宋体" w:cs="宋体"/>
          <w:color w:val="auto"/>
          <w:sz w:val="32"/>
          <w:highlight w:val="none"/>
          <w:u w:val="single"/>
        </w:rPr>
        <w:t xml:space="preserve"> </w:t>
      </w:r>
      <w:r>
        <w:rPr>
          <w:rFonts w:hint="eastAsia" w:ascii="宋体" w:cs="宋体"/>
          <w:color w:val="auto"/>
          <w:sz w:val="32"/>
          <w:highlight w:val="none"/>
          <w:u w:val="single"/>
        </w:rPr>
        <w:t>（盖章）</w:t>
      </w:r>
    </w:p>
    <w:p>
      <w:pPr>
        <w:spacing w:line="800" w:lineRule="exact"/>
        <w:jc w:val="center"/>
        <w:rPr>
          <w:rFonts w:hint="default" w:ascii="宋体" w:eastAsia="宋体" w:cs="宋体"/>
          <w:b/>
          <w:color w:val="auto"/>
          <w:spacing w:val="20"/>
          <w:sz w:val="32"/>
          <w:szCs w:val="32"/>
          <w:highlight w:val="none"/>
          <w:lang w:val="en-US" w:eastAsia="zh-CN"/>
        </w:rPr>
      </w:pPr>
      <w:r>
        <w:rPr>
          <w:rFonts w:ascii="宋体" w:cs="宋体"/>
          <w:color w:val="auto"/>
          <w:sz w:val="32"/>
          <w:highlight w:val="none"/>
          <w:u w:val="single"/>
        </w:rPr>
        <w:t>202</w:t>
      </w:r>
      <w:r>
        <w:rPr>
          <w:rFonts w:hint="eastAsia" w:ascii="宋体" w:cs="宋体"/>
          <w:color w:val="auto"/>
          <w:sz w:val="32"/>
          <w:highlight w:val="none"/>
          <w:u w:val="single"/>
          <w:lang w:val="en-US" w:eastAsia="zh-CN"/>
        </w:rPr>
        <w:t>4</w:t>
      </w:r>
      <w:r>
        <w:rPr>
          <w:rFonts w:hint="eastAsia" w:ascii="宋体" w:cs="宋体"/>
          <w:color w:val="auto"/>
          <w:sz w:val="32"/>
          <w:highlight w:val="none"/>
        </w:rPr>
        <w:t>年</w:t>
      </w:r>
      <w:r>
        <w:rPr>
          <w:rFonts w:hint="eastAsia" w:ascii="宋体" w:cs="宋体"/>
          <w:color w:val="auto"/>
          <w:sz w:val="32"/>
          <w:highlight w:val="none"/>
          <w:u w:val="single"/>
          <w:lang w:val="en-US" w:eastAsia="zh-CN"/>
        </w:rPr>
        <w:t xml:space="preserve"> 4</w:t>
      </w:r>
      <w:r>
        <w:rPr>
          <w:rFonts w:ascii="宋体" w:cs="宋体"/>
          <w:color w:val="auto"/>
          <w:sz w:val="32"/>
          <w:highlight w:val="none"/>
          <w:u w:val="single"/>
        </w:rPr>
        <w:t xml:space="preserve"> </w:t>
      </w:r>
      <w:r>
        <w:rPr>
          <w:rFonts w:hint="eastAsia" w:ascii="宋体" w:cs="宋体"/>
          <w:color w:val="auto"/>
          <w:sz w:val="32"/>
          <w:highlight w:val="none"/>
        </w:rPr>
        <w:t>月</w:t>
      </w:r>
      <w:r>
        <w:rPr>
          <w:rFonts w:hint="eastAsia" w:ascii="宋体" w:cs="宋体"/>
          <w:color w:val="auto"/>
          <w:sz w:val="32"/>
          <w:highlight w:val="none"/>
          <w:u w:val="single"/>
          <w:lang w:val="en-US" w:eastAsia="zh-CN"/>
        </w:rPr>
        <w:t xml:space="preserve"> 26  </w:t>
      </w:r>
      <w:r>
        <w:rPr>
          <w:rFonts w:hint="eastAsia" w:ascii="宋体" w:cs="宋体"/>
          <w:color w:val="auto"/>
          <w:sz w:val="32"/>
          <w:highlight w:val="none"/>
          <w:lang w:val="en-US" w:eastAsia="zh-CN"/>
        </w:rPr>
        <w:t>日</w:t>
      </w:r>
    </w:p>
    <w:p>
      <w:pPr>
        <w:rPr>
          <w:rFonts w:ascii="宋体"/>
          <w:color w:val="auto"/>
          <w:highlight w:val="none"/>
        </w:rPr>
        <w:sectPr>
          <w:headerReference r:id="rId4" w:type="first"/>
          <w:footerReference r:id="rId6" w:type="first"/>
          <w:headerReference r:id="rId3" w:type="default"/>
          <w:footerReference r:id="rId5" w:type="default"/>
          <w:pgSz w:w="11906" w:h="16838"/>
          <w:pgMar w:top="935" w:right="1106" w:bottom="936" w:left="1259" w:header="680" w:footer="680" w:gutter="0"/>
          <w:cols w:space="0" w:num="1"/>
          <w:titlePg/>
          <w:docGrid w:type="lines" w:linePitch="318" w:charSpace="0"/>
        </w:sectPr>
      </w:pPr>
    </w:p>
    <w:p>
      <w:pPr>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目</w:t>
      </w:r>
      <w:r>
        <w:rPr>
          <w:rFonts w:ascii="仿宋" w:hAnsi="仿宋" w:eastAsia="仿宋" w:cs="仿宋"/>
          <w:b/>
          <w:bCs/>
          <w:color w:val="auto"/>
          <w:sz w:val="28"/>
          <w:szCs w:val="28"/>
          <w:highlight w:val="none"/>
        </w:rPr>
        <w:t xml:space="preserve">  </w:t>
      </w:r>
      <w:r>
        <w:rPr>
          <w:rFonts w:hint="eastAsia" w:ascii="仿宋" w:hAnsi="仿宋" w:eastAsia="仿宋" w:cs="仿宋"/>
          <w:b/>
          <w:bCs/>
          <w:color w:val="auto"/>
          <w:sz w:val="28"/>
          <w:szCs w:val="28"/>
          <w:highlight w:val="none"/>
        </w:rPr>
        <w:t>录</w:t>
      </w:r>
    </w:p>
    <w:p>
      <w:pPr>
        <w:pStyle w:val="33"/>
        <w:numPr>
          <w:ilvl w:val="0"/>
          <w:numId w:val="0"/>
        </w:numPr>
        <w:tabs>
          <w:tab w:val="right" w:leader="dot" w:pos="9541"/>
          <w:tab w:val="clear" w:pos="8296"/>
        </w:tabs>
        <w:spacing w:line="48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A、</w:t>
      </w:r>
      <w:r>
        <w:rPr>
          <w:rFonts w:hint="eastAsia" w:ascii="宋体" w:hAnsi="宋体" w:eastAsia="宋体" w:cs="宋体"/>
          <w:b w:val="0"/>
          <w:bCs w:val="0"/>
          <w:color w:val="auto"/>
          <w:sz w:val="24"/>
          <w:szCs w:val="24"/>
          <w:highlight w:val="none"/>
        </w:rPr>
        <w:t>投标须知前附表</w:t>
      </w:r>
      <w:r>
        <w:rPr>
          <w:rFonts w:hint="eastAsia" w:ascii="宋体" w:hAnsi="宋体" w:eastAsia="宋体" w:cs="宋体"/>
          <w:b w:val="0"/>
          <w:bCs w:val="0"/>
          <w:color w:val="auto"/>
          <w:sz w:val="24"/>
          <w:szCs w:val="24"/>
          <w:highlight w:val="none"/>
        </w:rPr>
        <w:tab/>
      </w:r>
      <w:r>
        <w:rPr>
          <w:rFonts w:hint="eastAsia" w:ascii="宋体" w:hAnsi="宋体" w:eastAsia="宋体" w:cs="宋体"/>
          <w:b w:val="0"/>
          <w:bCs w:val="0"/>
          <w:color w:val="auto"/>
          <w:sz w:val="24"/>
          <w:szCs w:val="24"/>
          <w:highlight w:val="none"/>
          <w:lang w:val="en-US" w:eastAsia="zh-CN"/>
        </w:rPr>
        <w:t>1</w:t>
      </w:r>
    </w:p>
    <w:p>
      <w:pPr>
        <w:pStyle w:val="33"/>
        <w:numPr>
          <w:ilvl w:val="0"/>
          <w:numId w:val="0"/>
        </w:numPr>
        <w:tabs>
          <w:tab w:val="right" w:leader="dot" w:pos="9541"/>
          <w:tab w:val="clear" w:pos="8296"/>
        </w:tabs>
        <w:spacing w:line="48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color w:val="auto"/>
          <w:sz w:val="24"/>
          <w:szCs w:val="24"/>
          <w:highlight w:val="none"/>
        </w:rPr>
        <w:instrText xml:space="preserve">TOC \o "1-2" \h \u </w:instrText>
      </w:r>
      <w:r>
        <w:rPr>
          <w:rFonts w:hint="eastAsia" w:ascii="宋体" w:hAnsi="宋体" w:eastAsia="宋体" w:cs="宋体"/>
          <w:b w:val="0"/>
          <w:bCs w:val="0"/>
          <w:color w:val="auto"/>
          <w:sz w:val="24"/>
          <w:szCs w:val="2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"_Toc25340" </w:instrText>
      </w:r>
      <w:r>
        <w:rPr>
          <w:rFonts w:hint="eastAsia" w:ascii="宋体" w:hAnsi="宋体" w:eastAsia="宋体" w:cs="宋体"/>
          <w:color w:val="auto"/>
          <w:highlight w:val="none"/>
        </w:rPr>
        <w:fldChar w:fldCharType="separate"/>
      </w: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val="en-US" w:eastAsia="zh-CN"/>
        </w:rPr>
        <w:t>一</w:t>
      </w:r>
      <w:r>
        <w:rPr>
          <w:rFonts w:hint="eastAsia" w:ascii="宋体" w:hAnsi="宋体" w:eastAsia="宋体" w:cs="宋体"/>
          <w:b w:val="0"/>
          <w:bCs w:val="0"/>
          <w:color w:val="auto"/>
          <w:sz w:val="24"/>
          <w:szCs w:val="24"/>
          <w:highlight w:val="none"/>
        </w:rPr>
        <w:t>章  投标须知</w:t>
      </w:r>
      <w:r>
        <w:rPr>
          <w:rFonts w:hint="eastAsia" w:ascii="宋体" w:hAnsi="宋体" w:eastAsia="宋体" w:cs="宋体"/>
          <w:b w:val="0"/>
          <w:bCs w:val="0"/>
          <w:color w:val="auto"/>
          <w:sz w:val="24"/>
          <w:szCs w:val="24"/>
          <w:highlight w:val="none"/>
        </w:rPr>
        <w:tab/>
      </w:r>
      <w:r>
        <w:rPr>
          <w:rFonts w:hint="eastAsia"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fldChar w:fldCharType="end"/>
      </w:r>
    </w:p>
    <w:p>
      <w:pPr>
        <w:pStyle w:val="33"/>
        <w:tabs>
          <w:tab w:val="right" w:leader="dot" w:pos="9541"/>
          <w:tab w:val="clear" w:pos="8296"/>
        </w:tabs>
        <w:spacing w:line="480" w:lineRule="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第二章  评标办法</w:t>
      </w:r>
      <w:r>
        <w:rPr>
          <w:rFonts w:hint="eastAsia" w:ascii="宋体" w:hAnsi="宋体" w:eastAsia="宋体" w:cs="宋体"/>
          <w:b w:val="0"/>
          <w:bCs w:val="0"/>
          <w:color w:val="auto"/>
          <w:sz w:val="24"/>
          <w:szCs w:val="24"/>
          <w:highlight w:val="none"/>
        </w:rPr>
        <w:tab/>
      </w:r>
      <w:r>
        <w:rPr>
          <w:rFonts w:hint="eastAsia" w:hAnsi="宋体" w:eastAsia="宋体" w:cs="宋体"/>
          <w:b w:val="0"/>
          <w:bCs w:val="0"/>
          <w:color w:val="auto"/>
          <w:sz w:val="24"/>
          <w:szCs w:val="24"/>
          <w:highlight w:val="none"/>
          <w:lang w:val="en-US" w:eastAsia="zh-CN"/>
        </w:rPr>
        <w:t>11</w:t>
      </w:r>
    </w:p>
    <w:p>
      <w:pPr>
        <w:pStyle w:val="33"/>
        <w:tabs>
          <w:tab w:val="right" w:leader="dot" w:pos="9541"/>
          <w:tab w:val="clear" w:pos="8296"/>
        </w:tabs>
        <w:spacing w:line="48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"_Toc12737" </w:instrText>
      </w:r>
      <w:r>
        <w:rPr>
          <w:rFonts w:hint="eastAsia" w:ascii="宋体" w:hAnsi="宋体" w:eastAsia="宋体" w:cs="宋体"/>
          <w:color w:val="auto"/>
          <w:highlight w:val="none"/>
        </w:rPr>
        <w:fldChar w:fldCharType="separate"/>
      </w: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 xml:space="preserve">章  </w:t>
      </w:r>
      <w:r>
        <w:rPr>
          <w:rFonts w:hint="eastAsia" w:ascii="宋体" w:hAnsi="宋体" w:eastAsia="宋体" w:cs="宋体"/>
          <w:b w:val="0"/>
          <w:bCs w:val="0"/>
          <w:color w:val="auto"/>
          <w:sz w:val="24"/>
          <w:szCs w:val="24"/>
          <w:highlight w:val="none"/>
          <w:lang w:val="en-US" w:eastAsia="zh-CN"/>
        </w:rPr>
        <w:t>服务要求</w:t>
      </w:r>
      <w:r>
        <w:rPr>
          <w:rFonts w:hint="eastAsia" w:ascii="宋体" w:hAnsi="宋体" w:eastAsia="宋体" w:cs="宋体"/>
          <w:b w:val="0"/>
          <w:bCs w:val="0"/>
          <w:color w:val="auto"/>
          <w:sz w:val="24"/>
          <w:szCs w:val="24"/>
          <w:highlight w:val="none"/>
        </w:rPr>
        <w:tab/>
      </w:r>
      <w:r>
        <w:rPr>
          <w:rFonts w:hint="eastAsia"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fldChar w:fldCharType="end"/>
      </w:r>
      <w:r>
        <w:rPr>
          <w:rFonts w:hint="eastAsia" w:hAnsi="宋体" w:eastAsia="宋体" w:cs="宋体"/>
          <w:b w:val="0"/>
          <w:bCs w:val="0"/>
          <w:color w:val="auto"/>
          <w:sz w:val="24"/>
          <w:szCs w:val="24"/>
          <w:highlight w:val="none"/>
          <w:lang w:val="en-US" w:eastAsia="zh-CN"/>
        </w:rPr>
        <w:t>2</w:t>
      </w:r>
    </w:p>
    <w:p>
      <w:pPr>
        <w:pStyle w:val="33"/>
        <w:tabs>
          <w:tab w:val="right" w:leader="dot" w:pos="9541"/>
          <w:tab w:val="clear" w:pos="8296"/>
        </w:tabs>
        <w:spacing w:line="48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"_Toc12737" </w:instrText>
      </w:r>
      <w:r>
        <w:rPr>
          <w:rFonts w:hint="eastAsia" w:ascii="宋体" w:hAnsi="宋体" w:eastAsia="宋体" w:cs="宋体"/>
          <w:color w:val="auto"/>
          <w:highlight w:val="none"/>
        </w:rPr>
        <w:fldChar w:fldCharType="separate"/>
      </w:r>
      <w:r>
        <w:rPr>
          <w:rFonts w:hint="eastAsia" w:ascii="宋体" w:hAnsi="宋体" w:eastAsia="宋体" w:cs="宋体"/>
          <w:b w:val="0"/>
          <w:bCs w:val="0"/>
          <w:color w:val="auto"/>
          <w:sz w:val="24"/>
          <w:szCs w:val="24"/>
          <w:highlight w:val="none"/>
        </w:rPr>
        <w:t>第</w:t>
      </w:r>
      <w:r>
        <w:rPr>
          <w:rFonts w:hint="eastAsia" w:hAnsi="宋体" w:eastAsia="宋体" w:cs="宋体"/>
          <w:b w:val="0"/>
          <w:bCs w:val="0"/>
          <w:color w:val="auto"/>
          <w:sz w:val="24"/>
          <w:szCs w:val="24"/>
          <w:highlight w:val="none"/>
          <w:lang w:val="en-US" w:eastAsia="zh-CN"/>
        </w:rPr>
        <w:t>四</w:t>
      </w:r>
      <w:r>
        <w:rPr>
          <w:rFonts w:hint="eastAsia" w:ascii="宋体" w:hAnsi="宋体" w:eastAsia="宋体" w:cs="宋体"/>
          <w:b w:val="0"/>
          <w:bCs w:val="0"/>
          <w:color w:val="auto"/>
          <w:sz w:val="24"/>
          <w:szCs w:val="24"/>
          <w:highlight w:val="none"/>
        </w:rPr>
        <w:t>章  合同条款</w:t>
      </w:r>
      <w:r>
        <w:rPr>
          <w:rFonts w:hint="eastAsia" w:ascii="宋体" w:hAnsi="宋体" w:eastAsia="宋体" w:cs="宋体"/>
          <w:b w:val="0"/>
          <w:bCs w:val="0"/>
          <w:color w:val="auto"/>
          <w:sz w:val="24"/>
          <w:szCs w:val="24"/>
          <w:highlight w:val="none"/>
        </w:rPr>
        <w:tab/>
      </w:r>
      <w:r>
        <w:rPr>
          <w:rFonts w:hint="eastAsia"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fldChar w:fldCharType="end"/>
      </w:r>
      <w:r>
        <w:rPr>
          <w:rFonts w:hint="eastAsia" w:hAnsi="宋体" w:eastAsia="宋体" w:cs="宋体"/>
          <w:b w:val="0"/>
          <w:bCs w:val="0"/>
          <w:color w:val="auto"/>
          <w:sz w:val="24"/>
          <w:szCs w:val="24"/>
          <w:highlight w:val="none"/>
          <w:lang w:val="en-US" w:eastAsia="zh-CN"/>
        </w:rPr>
        <w:t>6</w:t>
      </w:r>
    </w:p>
    <w:p>
      <w:pPr>
        <w:pStyle w:val="33"/>
        <w:tabs>
          <w:tab w:val="right" w:leader="dot" w:pos="9541"/>
          <w:tab w:val="clear" w:pos="8296"/>
        </w:tabs>
        <w:spacing w:line="48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"_Toc31238" </w:instrText>
      </w:r>
      <w:r>
        <w:rPr>
          <w:rFonts w:hint="eastAsia" w:ascii="宋体" w:hAnsi="宋体" w:eastAsia="宋体" w:cs="宋体"/>
          <w:color w:val="auto"/>
          <w:highlight w:val="none"/>
        </w:rPr>
        <w:fldChar w:fldCharType="separate"/>
      </w:r>
      <w:r>
        <w:rPr>
          <w:rFonts w:hint="eastAsia" w:ascii="宋体" w:hAnsi="宋体" w:eastAsia="宋体" w:cs="宋体"/>
          <w:b w:val="0"/>
          <w:bCs w:val="0"/>
          <w:color w:val="auto"/>
          <w:sz w:val="24"/>
          <w:szCs w:val="24"/>
          <w:highlight w:val="none"/>
          <w:lang w:val="en-US" w:eastAsia="zh-CN"/>
        </w:rPr>
        <w:t>第五章</w:t>
      </w:r>
      <w:r>
        <w:rPr>
          <w:rFonts w:hint="eastAsia" w:ascii="宋体" w:hAnsi="宋体" w:eastAsia="宋体" w:cs="宋体"/>
          <w:b w:val="0"/>
          <w:bCs w:val="0"/>
          <w:color w:val="auto"/>
          <w:sz w:val="24"/>
          <w:szCs w:val="24"/>
          <w:highlight w:val="none"/>
        </w:rPr>
        <w:t xml:space="preserve">  投标文件格式</w:t>
      </w:r>
      <w:r>
        <w:rPr>
          <w:rFonts w:hint="eastAsia" w:ascii="宋体" w:hAnsi="宋体" w:eastAsia="宋体" w:cs="宋体"/>
          <w:b w:val="0"/>
          <w:bCs w:val="0"/>
          <w:color w:val="auto"/>
          <w:sz w:val="24"/>
          <w:szCs w:val="24"/>
          <w:highlight w:val="none"/>
        </w:rPr>
        <w:tab/>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fldChar w:fldCharType="end"/>
      </w:r>
      <w:r>
        <w:rPr>
          <w:rFonts w:hint="eastAsia" w:hAnsi="宋体" w:eastAsia="宋体" w:cs="宋体"/>
          <w:b w:val="0"/>
          <w:bCs w:val="0"/>
          <w:color w:val="auto"/>
          <w:sz w:val="24"/>
          <w:szCs w:val="24"/>
          <w:highlight w:val="none"/>
          <w:lang w:val="en-US" w:eastAsia="zh-CN"/>
        </w:rPr>
        <w:t>9</w:t>
      </w:r>
    </w:p>
    <w:p>
      <w:pPr>
        <w:pStyle w:val="33"/>
        <w:tabs>
          <w:tab w:val="right" w:leader="dot" w:pos="9541"/>
          <w:tab w:val="clear" w:pos="8296"/>
        </w:tabs>
        <w:spacing w:line="480" w:lineRule="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"_Toc23863" </w:instrText>
      </w:r>
      <w:r>
        <w:rPr>
          <w:rFonts w:hint="eastAsia" w:ascii="宋体" w:hAnsi="宋体" w:eastAsia="宋体" w:cs="宋体"/>
          <w:color w:val="auto"/>
          <w:highlight w:val="none"/>
        </w:rPr>
        <w:fldChar w:fldCharType="separate"/>
      </w:r>
      <w:r>
        <w:rPr>
          <w:rFonts w:hint="eastAsia" w:ascii="宋体" w:hAnsi="宋体" w:eastAsia="宋体" w:cs="宋体"/>
          <w:b w:val="0"/>
          <w:bCs w:val="0"/>
          <w:color w:val="auto"/>
          <w:sz w:val="24"/>
          <w:szCs w:val="24"/>
          <w:highlight w:val="none"/>
        </w:rPr>
        <w:t>第</w:t>
      </w:r>
      <w:r>
        <w:rPr>
          <w:rFonts w:hint="eastAsia" w:hAnsi="宋体" w:eastAsia="宋体" w:cs="宋体"/>
          <w:b w:val="0"/>
          <w:bCs w:val="0"/>
          <w:color w:val="auto"/>
          <w:sz w:val="24"/>
          <w:szCs w:val="24"/>
          <w:highlight w:val="none"/>
          <w:lang w:val="en-US" w:eastAsia="zh-CN"/>
        </w:rPr>
        <w:t>六</w:t>
      </w:r>
      <w:r>
        <w:rPr>
          <w:rFonts w:hint="eastAsia" w:ascii="宋体" w:hAnsi="宋体" w:eastAsia="宋体" w:cs="宋体"/>
          <w:b w:val="0"/>
          <w:bCs w:val="0"/>
          <w:color w:val="auto"/>
          <w:sz w:val="24"/>
          <w:szCs w:val="24"/>
          <w:highlight w:val="none"/>
        </w:rPr>
        <w:t>章   招标单位、招标代理机构对本招标文件的确认</w:t>
      </w:r>
      <w:r>
        <w:rPr>
          <w:rFonts w:hint="eastAsia" w:ascii="宋体" w:hAnsi="宋体" w:eastAsia="宋体" w:cs="宋体"/>
          <w:b w:val="0"/>
          <w:bCs w:val="0"/>
          <w:color w:val="auto"/>
          <w:sz w:val="24"/>
          <w:szCs w:val="24"/>
          <w:highlight w:val="none"/>
        </w:rPr>
        <w:tab/>
      </w:r>
      <w:r>
        <w:rPr>
          <w:rFonts w:hint="eastAsia" w:ascii="宋体" w:hAnsi="宋体" w:eastAsia="宋体" w:cs="宋体"/>
          <w:b w:val="0"/>
          <w:bCs w:val="0"/>
          <w:color w:val="auto"/>
          <w:sz w:val="24"/>
          <w:szCs w:val="24"/>
          <w:highlight w:val="none"/>
        </w:rPr>
        <w:fldChar w:fldCharType="end"/>
      </w:r>
      <w:r>
        <w:rPr>
          <w:rFonts w:hint="eastAsia" w:hAnsi="宋体" w:eastAsia="宋体" w:cs="宋体"/>
          <w:b w:val="0"/>
          <w:bCs w:val="0"/>
          <w:color w:val="auto"/>
          <w:sz w:val="24"/>
          <w:szCs w:val="24"/>
          <w:highlight w:val="none"/>
          <w:lang w:val="en-US" w:eastAsia="zh-CN"/>
        </w:rPr>
        <w:t>34</w:t>
      </w:r>
    </w:p>
    <w:p>
      <w:pPr>
        <w:pStyle w:val="2"/>
        <w:spacing w:before="0" w:after="0" w:line="480" w:lineRule="auto"/>
        <w:jc w:val="both"/>
        <w:rPr>
          <w:rFonts w:hint="default" w:ascii="仿宋" w:eastAsia="宋体" w:cs="仿宋"/>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fldChar w:fldCharType="end"/>
      </w:r>
      <w:r>
        <w:rPr>
          <w:rFonts w:hint="eastAsia" w:ascii="宋体" w:hAnsi="宋体" w:eastAsia="宋体" w:cs="宋体"/>
          <w:b w:val="0"/>
          <w:bCs w:val="0"/>
          <w:color w:val="auto"/>
          <w:sz w:val="24"/>
          <w:szCs w:val="24"/>
          <w:highlight w:val="none"/>
          <w:lang w:val="en-US" w:eastAsia="zh-CN"/>
        </w:rPr>
        <w:t xml:space="preserve"> </w:t>
      </w:r>
    </w:p>
    <w:p>
      <w:pPr>
        <w:rPr>
          <w:color w:val="auto"/>
          <w:highlight w:val="none"/>
        </w:rPr>
        <w:sectPr>
          <w:footerReference r:id="rId8" w:type="first"/>
          <w:footerReference r:id="rId7" w:type="default"/>
          <w:pgSz w:w="11906" w:h="16838"/>
          <w:pgMar w:top="935" w:right="1106" w:bottom="936" w:left="1259" w:header="680" w:footer="680" w:gutter="0"/>
          <w:pgNumType w:start="1"/>
          <w:cols w:space="0" w:num="1"/>
          <w:docGrid w:type="lines" w:linePitch="318" w:charSpace="0"/>
        </w:sectPr>
      </w:pPr>
      <w:r>
        <w:rPr>
          <w:rFonts w:hint="eastAsia" w:ascii="宋体" w:hAnsi="宋体" w:eastAsia="宋体" w:cs="宋体"/>
          <w:b w:val="0"/>
          <w:bCs w:val="0"/>
          <w:color w:val="auto"/>
          <w:sz w:val="24"/>
          <w:szCs w:val="24"/>
          <w:highlight w:val="none"/>
        </w:rPr>
        <w:tab/>
      </w:r>
    </w:p>
    <w:p>
      <w:pPr>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A、投标须知前附表</w:t>
      </w:r>
    </w:p>
    <w:tbl>
      <w:tblPr>
        <w:tblStyle w:val="47"/>
        <w:tblW w:w="10150" w:type="dxa"/>
        <w:tblInd w:w="-289" w:type="dxa"/>
        <w:tblLayout w:type="fixed"/>
        <w:tblCellMar>
          <w:top w:w="0" w:type="dxa"/>
          <w:left w:w="0" w:type="dxa"/>
          <w:bottom w:w="0" w:type="dxa"/>
          <w:right w:w="0" w:type="dxa"/>
        </w:tblCellMar>
      </w:tblPr>
      <w:tblGrid>
        <w:gridCol w:w="884"/>
        <w:gridCol w:w="1400"/>
        <w:gridCol w:w="7866"/>
      </w:tblGrid>
      <w:tr>
        <w:tblPrEx>
          <w:tblCellMar>
            <w:top w:w="0" w:type="dxa"/>
            <w:left w:w="0" w:type="dxa"/>
            <w:bottom w:w="0" w:type="dxa"/>
            <w:right w:w="0" w:type="dxa"/>
          </w:tblCellMar>
        </w:tblPrEx>
        <w:trPr>
          <w:trHeight w:val="580" w:hRule="atLeast"/>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编号</w:t>
            </w:r>
          </w:p>
        </w:tc>
        <w:tc>
          <w:tcPr>
            <w:tcW w:w="1400" w:type="dxa"/>
            <w:tcBorders>
              <w:top w:val="single" w:color="auto" w:sz="8" w:space="0"/>
              <w:left w:val="single" w:color="auto" w:sz="4" w:space="0"/>
              <w:bottom w:val="single" w:color="auto" w:sz="8" w:space="0"/>
              <w:right w:val="single" w:color="auto" w:sz="4" w:space="0"/>
            </w:tcBorders>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w:t>
            </w:r>
          </w:p>
        </w:tc>
        <w:tc>
          <w:tcPr>
            <w:tcW w:w="7866" w:type="dxa"/>
            <w:tcBorders>
              <w:top w:val="single" w:color="auto" w:sz="8" w:space="0"/>
              <w:left w:val="single" w:color="auto" w:sz="4" w:space="0"/>
              <w:bottom w:val="single" w:color="auto" w:sz="8" w:space="0"/>
              <w:right w:val="single" w:color="auto" w:sz="8" w:space="0"/>
            </w:tcBorders>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说明与要求</w:t>
            </w:r>
          </w:p>
        </w:tc>
      </w:tr>
      <w:tr>
        <w:tblPrEx>
          <w:tblCellMar>
            <w:top w:w="0" w:type="dxa"/>
            <w:left w:w="0" w:type="dxa"/>
            <w:bottom w:w="0" w:type="dxa"/>
            <w:right w:w="0" w:type="dxa"/>
          </w:tblCellMar>
        </w:tblPrEx>
        <w:trPr>
          <w:trHeight w:val="986"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项目概况</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项目</w:t>
            </w:r>
            <w:r>
              <w:rPr>
                <w:rFonts w:hint="eastAsia" w:ascii="宋体" w:hAnsi="宋体" w:eastAsia="宋体" w:cs="宋体"/>
                <w:color w:val="auto"/>
                <w:kern w:val="0"/>
                <w:sz w:val="21"/>
                <w:szCs w:val="21"/>
                <w:highlight w:val="none"/>
              </w:rPr>
              <w:t>名称：</w:t>
            </w:r>
            <w:r>
              <w:rPr>
                <w:rFonts w:hint="eastAsia" w:ascii="宋体" w:hAnsi="宋体" w:cs="宋体"/>
                <w:color w:val="auto"/>
                <w:kern w:val="0"/>
                <w:sz w:val="21"/>
                <w:szCs w:val="21"/>
                <w:highlight w:val="none"/>
                <w:lang w:eastAsia="zh-CN"/>
              </w:rPr>
              <w:t>亭城玺悦里基坑监测、沉降观测项目</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建设地点：滁州市</w:t>
            </w:r>
            <w:r>
              <w:rPr>
                <w:rFonts w:hint="eastAsia" w:ascii="宋体" w:hAnsi="宋体" w:eastAsia="宋体" w:cs="宋体"/>
                <w:color w:val="auto"/>
                <w:kern w:val="0"/>
                <w:sz w:val="21"/>
                <w:szCs w:val="21"/>
                <w:highlight w:val="none"/>
                <w:lang w:val="en-US" w:eastAsia="zh-CN"/>
              </w:rPr>
              <w:t>内</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建设规模：项目占地71亩，建筑面积约</w:t>
            </w:r>
            <w:r>
              <w:rPr>
                <w:rFonts w:hint="eastAsia" w:ascii="宋体" w:hAnsi="宋体" w:cs="宋体"/>
                <w:color w:val="auto"/>
                <w:kern w:val="0"/>
                <w:sz w:val="21"/>
                <w:szCs w:val="21"/>
                <w:highlight w:val="none"/>
                <w:lang w:val="en-US" w:eastAsia="zh-CN"/>
              </w:rPr>
              <w:t>10.9万</w:t>
            </w:r>
            <w:r>
              <w:rPr>
                <w:rFonts w:hint="eastAsia" w:ascii="宋体" w:hAnsi="宋体" w:eastAsia="宋体" w:cs="宋体"/>
                <w:color w:val="auto"/>
                <w:kern w:val="0"/>
                <w:sz w:val="21"/>
                <w:szCs w:val="21"/>
                <w:highlight w:val="none"/>
              </w:rPr>
              <w:t>平方米</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本项目服务费用约18.66万元。</w:t>
            </w:r>
            <w:r>
              <w:rPr>
                <w:rFonts w:hint="eastAsia" w:ascii="宋体" w:hAnsi="宋体" w:eastAsia="宋体" w:cs="宋体"/>
                <w:color w:val="auto"/>
                <w:kern w:val="0"/>
                <w:sz w:val="21"/>
                <w:szCs w:val="21"/>
                <w:highlight w:val="none"/>
              </w:rPr>
              <w:t xml:space="preserve"> </w:t>
            </w:r>
          </w:p>
        </w:tc>
      </w:tr>
      <w:tr>
        <w:tblPrEx>
          <w:tblCellMar>
            <w:top w:w="0" w:type="dxa"/>
            <w:left w:w="0" w:type="dxa"/>
            <w:bottom w:w="0" w:type="dxa"/>
            <w:right w:w="0" w:type="dxa"/>
          </w:tblCellMar>
        </w:tblPrEx>
        <w:trPr>
          <w:trHeight w:val="90"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招标范围</w:t>
            </w:r>
            <w:r>
              <w:rPr>
                <w:rFonts w:hint="eastAsia" w:ascii="宋体" w:hAnsi="宋体" w:cs="宋体"/>
                <w:color w:val="auto"/>
                <w:kern w:val="0"/>
                <w:sz w:val="21"/>
                <w:szCs w:val="21"/>
                <w:highlight w:val="none"/>
                <w:lang w:val="en-US" w:eastAsia="zh-CN"/>
              </w:rPr>
              <w:t>及要求</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eastAsia="宋体"/>
                <w:color w:val="FF0000"/>
                <w:highlight w:val="none"/>
                <w:lang w:val="en-US" w:eastAsia="zh-CN"/>
              </w:rPr>
            </w:pPr>
            <w:r>
              <w:rPr>
                <w:rFonts w:hint="default" w:eastAsia="宋体"/>
                <w:color w:val="auto"/>
                <w:highlight w:val="none"/>
                <w:lang w:val="en-US" w:eastAsia="zh-CN"/>
              </w:rPr>
              <w:t>主要内容包括（但不限于）：基坑监测、建筑物沉降观测及招标人根据实际需求增加的内容，以及其他设计、行业及国家有关现行技术规范、规程、标准规定的监测项目和甲方安排的为保障项目的质量、安全和使用的其他监测内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eastAsia="宋体"/>
                <w:color w:val="auto"/>
                <w:highlight w:val="none"/>
                <w:lang w:val="en-US" w:eastAsia="zh-CN"/>
              </w:rPr>
            </w:pPr>
            <w:r>
              <w:rPr>
                <w:rFonts w:hint="default" w:eastAsia="宋体"/>
                <w:color w:val="auto"/>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eastAsia="宋体"/>
                <w:color w:val="auto"/>
                <w:highlight w:val="none"/>
                <w:lang w:val="en-US" w:eastAsia="zh-CN"/>
              </w:rPr>
            </w:pPr>
            <w:r>
              <w:rPr>
                <w:rFonts w:hint="default" w:eastAsia="宋体"/>
                <w:color w:val="auto"/>
                <w:highlight w:val="none"/>
                <w:lang w:val="en-US" w:eastAsia="zh-CN"/>
              </w:rPr>
              <w:t>1、本项目的监测包含但不限于以上监测内容, 所有监测内容均必须严格按照规范规定、设计和竣工验收的要求进行检测，并达到竣工验收条件。</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eastAsia="宋体"/>
                <w:color w:val="auto"/>
                <w:highlight w:val="none"/>
                <w:lang w:val="en-US" w:eastAsia="zh-CN"/>
              </w:rPr>
            </w:pPr>
            <w:r>
              <w:rPr>
                <w:rFonts w:hint="default" w:eastAsia="宋体"/>
                <w:color w:val="auto"/>
                <w:highlight w:val="none"/>
                <w:lang w:val="en-US" w:eastAsia="zh-CN"/>
              </w:rPr>
              <w:t>2、本项目的监测需要同时满足设计要求、相关主管部门要求、甲方要求。</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eastAsia="宋体"/>
                <w:color w:val="auto"/>
                <w:highlight w:val="none"/>
                <w:lang w:val="en-US" w:eastAsia="zh-CN"/>
              </w:rPr>
            </w:pPr>
            <w:r>
              <w:rPr>
                <w:rFonts w:hint="default" w:eastAsia="宋体"/>
                <w:color w:val="auto"/>
                <w:highlight w:val="none"/>
                <w:lang w:val="en-US" w:eastAsia="zh-CN"/>
              </w:rPr>
              <w:t>3、如对相关规范、图纸理解存在争议，以甲方（监理、设计）意见为准。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eastAsia="宋体"/>
                <w:color w:val="auto"/>
                <w:highlight w:val="none"/>
                <w:lang w:val="en-US" w:eastAsia="zh-CN"/>
              </w:rPr>
            </w:pPr>
            <w:r>
              <w:rPr>
                <w:rFonts w:hint="default" w:eastAsia="宋体"/>
                <w:color w:val="auto"/>
                <w:highlight w:val="none"/>
                <w:lang w:val="en-US" w:eastAsia="zh-CN"/>
              </w:rPr>
              <w:t>对于中标人资质从业范围内无法满足该项目的监测项目，由中标机构委托（须经业主认可）具备相应能力、资质的单位完成，并出具相应的报告，但所有费用应包含在本次投标报价中，且中标人必须对所有报告负总责。</w:t>
            </w:r>
          </w:p>
        </w:tc>
      </w:tr>
      <w:tr>
        <w:tblPrEx>
          <w:tblCellMar>
            <w:top w:w="0" w:type="dxa"/>
            <w:left w:w="0" w:type="dxa"/>
            <w:bottom w:w="0" w:type="dxa"/>
            <w:right w:w="0" w:type="dxa"/>
          </w:tblCellMar>
        </w:tblPrEx>
        <w:trPr>
          <w:trHeight w:val="315"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服务期要求</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自监测合同签署之日至所监测的项目内容全部施工完毕且竣工验收合格为止，中标后5个工作日内提供经招标人认可的详细工作计划</w:t>
            </w:r>
            <w:r>
              <w:rPr>
                <w:rFonts w:hint="eastAsia" w:ascii="宋体" w:hAnsi="宋体" w:cs="宋体"/>
                <w:color w:val="auto"/>
                <w:sz w:val="21"/>
                <w:szCs w:val="21"/>
                <w:highlight w:val="none"/>
                <w:lang w:val="en-US" w:eastAsia="zh-CN"/>
              </w:rPr>
              <w:t>。</w:t>
            </w:r>
          </w:p>
        </w:tc>
      </w:tr>
      <w:tr>
        <w:tblPrEx>
          <w:tblCellMar>
            <w:top w:w="0" w:type="dxa"/>
            <w:left w:w="0" w:type="dxa"/>
            <w:bottom w:w="0" w:type="dxa"/>
            <w:right w:w="0" w:type="dxa"/>
          </w:tblCellMar>
        </w:tblPrEx>
        <w:trPr>
          <w:trHeight w:val="425"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质量标准</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服务成果应达到或满足国家规程、规范及招标人要求的质量目标，满足工程施工及竣工验收要求。</w:t>
            </w:r>
          </w:p>
        </w:tc>
      </w:tr>
      <w:tr>
        <w:tblPrEx>
          <w:tblCellMar>
            <w:top w:w="0" w:type="dxa"/>
            <w:left w:w="0" w:type="dxa"/>
            <w:bottom w:w="0" w:type="dxa"/>
            <w:right w:w="0" w:type="dxa"/>
          </w:tblCellMar>
        </w:tblPrEx>
        <w:trPr>
          <w:trHeight w:val="744"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31680" w:hanging="1470" w:hangingChars="70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投标人资质</w:t>
            </w:r>
          </w:p>
          <w:p>
            <w:pPr>
              <w:keepNext w:val="0"/>
              <w:keepLines w:val="0"/>
              <w:pageBreakBefore w:val="0"/>
              <w:kinsoku/>
              <w:wordWrap/>
              <w:overflowPunct/>
              <w:topLinePunct w:val="0"/>
              <w:autoSpaceDE/>
              <w:autoSpaceDN/>
              <w:bidi w:val="0"/>
              <w:adjustRightInd/>
              <w:snapToGrid/>
              <w:spacing w:line="400" w:lineRule="exact"/>
              <w:ind w:left="31680" w:hanging="1470" w:hangingChars="70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等级要求</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1.投标人要求：</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具有工程勘察综合资质（或同时具有工程测量和岩土工程专业类【岩土工程专业资质（岩土工程物探测试检监检测）】乙级及以上资质和工程勘察专业类（工程测量专业资质）乙级及以上资质）；</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2.项目负责人：拟派检测项目负责人必须具有岩土工程或工程测量相关专业中级或以上职称；</w:t>
            </w:r>
          </w:p>
          <w:p>
            <w:pPr>
              <w:keepNext w:val="0"/>
              <w:keepLines w:val="0"/>
              <w:pageBreakBefore w:val="0"/>
              <w:kinsoku/>
              <w:overflowPunct/>
              <w:topLinePunct w:val="0"/>
              <w:autoSpaceDE/>
              <w:autoSpaceDN/>
              <w:bidi w:val="0"/>
              <w:adjustRightInd/>
              <w:snapToGrid/>
              <w:spacing w:line="400" w:lineRule="exac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.本项目不接受联合体投标。</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4信誉要求：投标人存在以下情形之一的，不得被确定为中标人：</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①投标人被人民法院列入失信被执行人的；</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②投标人或其法定代表人或拟派项目经理（建造师）前三年有行贿犯罪行为的；</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③投标人被市场监督管理部门列入经营异常名录或者严重违法企业名单，且未被移除的；</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④投标人被税务部门列入重大税收违法案件当事人的；</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⑤在“信用中国”网站上披露仍在公示期的严重失信行为的；</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⑥被滁州市县两级各行业主管部门及公管部门取消在一定期限内的投标资格且在取消期限内的；</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⑦被滁州市县两级公管部门记入不良行为记录或者信用信息记录，且在披露期内的。</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⑧被人力资源社会保障主管部门列入拖欠农民工工资‘黑名单’或因拖欠农民工工资被县级及以上有关行政主管部门限制投标资格且在限制期限内的。</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⑨被列入省级、市级农民工工资支付异常名录的施工企业，限制其参加全市范围内房建和市政工程建设项目投标；列入县级异常名录的施工企业，限制其参加本行政区域内房建和市政建设项目投标。</w:t>
            </w:r>
          </w:p>
          <w:p>
            <w:pPr>
              <w:keepNext w:val="0"/>
              <w:keepLines w:val="0"/>
              <w:pageBreakBefore w:val="0"/>
              <w:kinsoku/>
              <w:overflowPunct/>
              <w:topLinePunct w:val="0"/>
              <w:autoSpaceDE/>
              <w:autoSpaceDN/>
              <w:bidi w:val="0"/>
              <w:adjustRightInd/>
              <w:snapToGrid/>
              <w:spacing w:line="400" w:lineRule="exac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5.投标人所属分公司、办事处等分支机构存在第2条信誉要求①-⑨项情形之一的，接受其被确定为中标人。</w:t>
            </w:r>
          </w:p>
          <w:p>
            <w:pPr>
              <w:keepNext w:val="0"/>
              <w:keepLines w:val="0"/>
              <w:pageBreakBefore w:val="0"/>
              <w:kinsoku/>
              <w:overflowPunct/>
              <w:topLinePunct w:val="0"/>
              <w:autoSpaceDE/>
              <w:autoSpaceDN/>
              <w:bidi w:val="0"/>
              <w:adjustRightInd/>
              <w:snapToGrid/>
              <w:spacing w:line="400" w:lineRule="exact"/>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备注：第4、5条按照“关于联合惩戒失信行为加强信用查询管理的通知”查询或承诺。</w:t>
            </w:r>
          </w:p>
        </w:tc>
      </w:tr>
      <w:tr>
        <w:tblPrEx>
          <w:tblCellMar>
            <w:top w:w="0" w:type="dxa"/>
            <w:left w:w="0" w:type="dxa"/>
            <w:bottom w:w="0" w:type="dxa"/>
            <w:right w:w="0" w:type="dxa"/>
          </w:tblCellMar>
        </w:tblPrEx>
        <w:trPr>
          <w:trHeight w:val="656"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勘察现场及投标预备会</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不再集中召开招标答疑会；投标人自行组织勘察现场。</w:t>
            </w:r>
          </w:p>
        </w:tc>
      </w:tr>
      <w:tr>
        <w:tblPrEx>
          <w:tblCellMar>
            <w:top w:w="0" w:type="dxa"/>
            <w:left w:w="0" w:type="dxa"/>
            <w:bottom w:w="0" w:type="dxa"/>
            <w:right w:w="0" w:type="dxa"/>
          </w:tblCellMar>
        </w:tblPrEx>
        <w:trPr>
          <w:trHeight w:val="435"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400" w:type="dxa"/>
            <w:tcBorders>
              <w:top w:val="single" w:color="auto" w:sz="8" w:space="0"/>
              <w:left w:val="single" w:color="auto" w:sz="4" w:space="0"/>
              <w:bottom w:val="single" w:color="auto" w:sz="8" w:space="0"/>
              <w:right w:val="single" w:color="auto" w:sz="4" w:space="0"/>
            </w:tcBorders>
            <w:vAlign w:val="center"/>
          </w:tcPr>
          <w:p>
            <w:pPr>
              <w:pStyle w:val="28"/>
              <w:keepNext w:val="0"/>
              <w:keepLines w:val="0"/>
              <w:pageBreakBefore w:val="0"/>
              <w:kinsoku/>
              <w:wordWrap/>
              <w:overflowPunct/>
              <w:topLinePunct w:val="0"/>
              <w:autoSpaceDE/>
              <w:autoSpaceDN/>
              <w:bidi w:val="0"/>
              <w:adjustRightInd/>
              <w:snapToGrid/>
              <w:spacing w:line="400" w:lineRule="exact"/>
              <w:ind w:left="31680" w:hanging="1260" w:hangingChars="60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投标文件份数</w:t>
            </w:r>
          </w:p>
        </w:tc>
        <w:tc>
          <w:tcPr>
            <w:tcW w:w="7866" w:type="dxa"/>
            <w:tcBorders>
              <w:top w:val="single" w:color="auto" w:sz="8" w:space="0"/>
              <w:left w:val="single" w:color="auto" w:sz="4" w:space="0"/>
              <w:bottom w:val="single" w:color="auto" w:sz="8" w:space="0"/>
              <w:right w:val="single" w:color="auto" w:sz="8" w:space="0"/>
            </w:tcBorders>
            <w:vAlign w:val="center"/>
          </w:tcPr>
          <w:p>
            <w:pPr>
              <w:pStyle w:val="28"/>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正本</w:t>
            </w:r>
            <w:r>
              <w:rPr>
                <w:rFonts w:hint="eastAsia" w:ascii="宋体" w:hAnsi="宋体" w:eastAsia="宋体" w:cs="宋体"/>
                <w:color w:val="auto"/>
                <w:kern w:val="0"/>
                <w:sz w:val="21"/>
                <w:szCs w:val="21"/>
                <w:highlight w:val="none"/>
                <w:u w:val="single"/>
              </w:rPr>
              <w:t>一</w:t>
            </w:r>
            <w:r>
              <w:rPr>
                <w:rFonts w:hint="eastAsia" w:ascii="宋体" w:hAnsi="宋体" w:eastAsia="宋体" w:cs="宋体"/>
                <w:color w:val="auto"/>
                <w:kern w:val="0"/>
                <w:sz w:val="21"/>
                <w:szCs w:val="21"/>
                <w:highlight w:val="none"/>
              </w:rPr>
              <w:t>份，副本</w:t>
            </w:r>
            <w:r>
              <w:rPr>
                <w:rFonts w:hint="eastAsia" w:ascii="宋体" w:hAnsi="宋体" w:eastAsia="宋体" w:cs="宋体"/>
                <w:color w:val="auto"/>
                <w:kern w:val="0"/>
                <w:sz w:val="21"/>
                <w:szCs w:val="21"/>
                <w:highlight w:val="none"/>
                <w:u w:val="single"/>
                <w:lang w:val="en-US" w:eastAsia="zh-CN"/>
              </w:rPr>
              <w:t>二</w:t>
            </w:r>
            <w:r>
              <w:rPr>
                <w:rFonts w:hint="eastAsia" w:ascii="宋体" w:hAnsi="宋体" w:eastAsia="宋体" w:cs="宋体"/>
                <w:color w:val="auto"/>
                <w:kern w:val="0"/>
                <w:sz w:val="21"/>
                <w:szCs w:val="21"/>
                <w:highlight w:val="none"/>
              </w:rPr>
              <w:t>份。</w:t>
            </w:r>
          </w:p>
        </w:tc>
      </w:tr>
      <w:tr>
        <w:tblPrEx>
          <w:tblCellMar>
            <w:top w:w="0" w:type="dxa"/>
            <w:left w:w="0" w:type="dxa"/>
            <w:bottom w:w="0" w:type="dxa"/>
            <w:right w:w="0" w:type="dxa"/>
          </w:tblCellMar>
        </w:tblPrEx>
        <w:trPr>
          <w:trHeight w:val="435"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1400" w:type="dxa"/>
            <w:tcBorders>
              <w:top w:val="single" w:color="auto" w:sz="8" w:space="0"/>
              <w:left w:val="single" w:color="auto" w:sz="4" w:space="0"/>
              <w:bottom w:val="single" w:color="auto" w:sz="8" w:space="0"/>
              <w:right w:val="single" w:color="auto" w:sz="4" w:space="0"/>
            </w:tcBorders>
            <w:vAlign w:val="center"/>
          </w:tcPr>
          <w:p>
            <w:pPr>
              <w:pStyle w:val="28"/>
              <w:keepNext w:val="0"/>
              <w:keepLines w:val="0"/>
              <w:pageBreakBefore w:val="0"/>
              <w:kinsoku/>
              <w:wordWrap/>
              <w:overflowPunct/>
              <w:topLinePunct w:val="0"/>
              <w:autoSpaceDE/>
              <w:autoSpaceDN/>
              <w:bidi w:val="0"/>
              <w:adjustRightInd/>
              <w:snapToGrid/>
              <w:spacing w:line="400" w:lineRule="exact"/>
              <w:ind w:left="31680" w:hanging="1260" w:hangingChars="60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投标保证金</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投标保证金的金额：</w:t>
            </w:r>
            <w:r>
              <w:rPr>
                <w:rFonts w:hint="eastAsia" w:ascii="宋体" w:hAnsi="宋体" w:cs="宋体"/>
                <w:color w:val="auto"/>
                <w:szCs w:val="21"/>
                <w:highlight w:val="none"/>
                <w:u w:val="none"/>
                <w:lang w:val="en-US" w:eastAsia="zh-CN"/>
              </w:rPr>
              <w:t>0.3</w:t>
            </w:r>
            <w:r>
              <w:rPr>
                <w:rFonts w:hint="eastAsia" w:ascii="宋体" w:hAnsi="宋体" w:cs="宋体"/>
                <w:color w:val="auto"/>
                <w:szCs w:val="21"/>
                <w:highlight w:val="none"/>
                <w:u w:val="none"/>
              </w:rPr>
              <w:t>万元，应在投标文件递交截止时间前缴纳完毕。保证金须投标人基本账户转入下列账户，</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保证金付款人的账户名称必须与投标人名称一致，不接受汇票和结算卡汇入。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保证金的形式：银行转帐或银行保函（无条件保函）或商业保险或第三方担保方式。</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投标保证金以银行转账形式的，转账记录和开户行证明材料复印件需加盖公章后与投标文件同时递交。</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银行保函或商业保险或第三方担保材料，须与投标文件同时递交。</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单位名称 ：滁州市鑫鼎城市更新建设运营有限公司</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Cs w:val="21"/>
                <w:highlight w:val="none"/>
                <w:u w:val="none"/>
                <w:lang w:eastAsia="zh-CN"/>
              </w:rPr>
            </w:pPr>
            <w:r>
              <w:rPr>
                <w:rFonts w:hint="eastAsia" w:ascii="宋体" w:hAnsi="宋体" w:cs="宋体"/>
                <w:color w:val="auto"/>
                <w:szCs w:val="21"/>
                <w:highlight w:val="none"/>
                <w:u w:val="none"/>
              </w:rPr>
              <w:t>纳税人识别号：91341100MA2UABTK03</w:t>
            </w:r>
            <w:r>
              <w:rPr>
                <w:rFonts w:hint="eastAsia" w:ascii="宋体" w:hAnsi="宋体" w:cs="宋体"/>
                <w:color w:val="auto"/>
                <w:szCs w:val="21"/>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地址：安徽省滁州市琅邪区凤凰东路476号投资大厦6楼</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Cs w:val="21"/>
                <w:highlight w:val="none"/>
                <w:u w:val="none"/>
                <w:lang w:val="en-US" w:eastAsia="zh-CN"/>
              </w:rPr>
            </w:pPr>
            <w:r>
              <w:rPr>
                <w:rFonts w:hint="eastAsia" w:ascii="宋体" w:hAnsi="宋体" w:cs="宋体"/>
                <w:color w:val="auto"/>
                <w:szCs w:val="21"/>
                <w:highlight w:val="none"/>
                <w:u w:val="none"/>
              </w:rPr>
              <w:t>联系电话：0550-3801220</w:t>
            </w:r>
            <w:r>
              <w:rPr>
                <w:rFonts w:hint="eastAsia" w:ascii="宋体" w:hAnsi="宋体" w:cs="宋体"/>
                <w:color w:val="auto"/>
                <w:szCs w:val="21"/>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Cs w:val="21"/>
                <w:highlight w:val="none"/>
                <w:u w:val="none"/>
                <w:lang w:val="en-US" w:eastAsia="zh-CN"/>
              </w:rPr>
            </w:pPr>
            <w:r>
              <w:rPr>
                <w:rFonts w:hint="eastAsia" w:ascii="宋体" w:hAnsi="宋体" w:eastAsia="宋体" w:cs="宋体"/>
                <w:color w:val="auto"/>
                <w:szCs w:val="21"/>
                <w:highlight w:val="none"/>
                <w:u w:val="none"/>
                <w:lang w:val="en-US" w:eastAsia="zh-CN"/>
              </w:rPr>
              <w:t>开户行：交通银行滁州分行营业部</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lang w:val="en-US" w:eastAsia="zh-CN"/>
              </w:rPr>
              <w:t xml:space="preserve">账号：350220000013000010946  </w:t>
            </w:r>
          </w:p>
          <w:p>
            <w:pPr>
              <w:pStyle w:val="28"/>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u w:val="none"/>
                <w:lang w:val="en-US" w:eastAsia="zh-CN" w:bidi="ar-SA"/>
              </w:rPr>
              <w:t>保证金到账截止时间同投标文件递交截止时间，交纳保证金时须在交易附言中注明：“亭城玺悦里基坑监测、沉降观测项目”投标保证金</w:t>
            </w:r>
          </w:p>
        </w:tc>
      </w:tr>
      <w:tr>
        <w:tblPrEx>
          <w:tblCellMar>
            <w:top w:w="0" w:type="dxa"/>
            <w:left w:w="0" w:type="dxa"/>
            <w:bottom w:w="0" w:type="dxa"/>
            <w:right w:w="0" w:type="dxa"/>
          </w:tblCellMar>
        </w:tblPrEx>
        <w:trPr>
          <w:trHeight w:val="462"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9</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最高限价</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本项目的</w:t>
            </w:r>
            <w:r>
              <w:rPr>
                <w:rFonts w:hint="eastAsia" w:ascii="宋体" w:hAnsi="宋体" w:cs="宋体"/>
                <w:color w:val="auto"/>
                <w:sz w:val="21"/>
                <w:szCs w:val="21"/>
                <w:highlight w:val="none"/>
                <w:lang w:val="en-US" w:eastAsia="zh-CN"/>
              </w:rPr>
              <w:t>总价</w:t>
            </w:r>
            <w:r>
              <w:rPr>
                <w:rFonts w:hint="eastAsia" w:ascii="宋体" w:hAnsi="宋体" w:eastAsia="宋体" w:cs="宋体"/>
                <w:color w:val="auto"/>
                <w:sz w:val="21"/>
                <w:szCs w:val="21"/>
                <w:highlight w:val="none"/>
                <w:lang w:val="en-US" w:eastAsia="zh-CN"/>
              </w:rPr>
              <w:t>最高限价</w:t>
            </w:r>
            <w:r>
              <w:rPr>
                <w:rFonts w:hint="eastAsia" w:ascii="宋体" w:hAnsi="宋体" w:eastAsia="宋体" w:cs="宋体"/>
                <w:color w:val="auto"/>
                <w:sz w:val="21"/>
                <w:szCs w:val="21"/>
                <w:highlight w:val="none"/>
              </w:rPr>
              <w:t>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186690.00元，其中基坑监测</w:t>
            </w:r>
            <w:r>
              <w:rPr>
                <w:rFonts w:hint="eastAsia" w:ascii="宋体" w:hAnsi="宋体" w:eastAsia="宋体" w:cs="宋体"/>
                <w:color w:val="auto"/>
                <w:sz w:val="21"/>
                <w:szCs w:val="21"/>
                <w:highlight w:val="none"/>
                <w:lang w:val="en-US" w:eastAsia="zh-CN"/>
              </w:rPr>
              <w:t>最高限价</w:t>
            </w:r>
            <w:r>
              <w:rPr>
                <w:rFonts w:hint="eastAsia" w:ascii="宋体" w:hAnsi="宋体" w:eastAsia="宋体" w:cs="宋体"/>
                <w:color w:val="auto"/>
                <w:sz w:val="21"/>
                <w:szCs w:val="21"/>
                <w:highlight w:val="none"/>
              </w:rPr>
              <w:t>为</w:t>
            </w:r>
            <w:r>
              <w:rPr>
                <w:rFonts w:hint="eastAsia" w:ascii="宋体" w:hAnsi="宋体" w:cs="宋体"/>
                <w:color w:val="auto"/>
                <w:sz w:val="21"/>
                <w:szCs w:val="21"/>
                <w:highlight w:val="none"/>
                <w:lang w:val="en-US" w:eastAsia="zh-CN"/>
              </w:rPr>
              <w:t>120150.00元、建筑物沉降观测最高限价为66540.00元，投标单位投标报价均不得高于上述最高限价，否则按无效标处理。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注：</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1、无论任何原因导致的项目期限延长，委托人均不再增加编制费用</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2、投标人须认真研究项目的招标文件，并仔细踏勘现场，若对本项目有异议，应在投标答疑时向招标人提出。</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3、上述最高投标限价包含增值税专项、管理费、利润、风险费等。</w:t>
            </w:r>
          </w:p>
        </w:tc>
      </w:tr>
      <w:tr>
        <w:tblPrEx>
          <w:tblCellMar>
            <w:top w:w="0" w:type="dxa"/>
            <w:left w:w="0" w:type="dxa"/>
            <w:bottom w:w="0" w:type="dxa"/>
            <w:right w:w="0" w:type="dxa"/>
          </w:tblCellMar>
        </w:tblPrEx>
        <w:trPr>
          <w:trHeight w:val="1089"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投标文件提交截止时间及地点</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收件人：滁州市城投工程咨询管理有限公司</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地点：</w:t>
            </w:r>
            <w:r>
              <w:rPr>
                <w:rFonts w:hint="eastAsia" w:ascii="宋体" w:hAnsi="宋体" w:cs="宋体"/>
                <w:color w:val="auto"/>
                <w:kern w:val="10"/>
                <w:sz w:val="21"/>
                <w:szCs w:val="21"/>
                <w:highlight w:val="none"/>
                <w:lang w:val="en-US" w:eastAsia="zh-CN"/>
              </w:rPr>
              <w:t xml:space="preserve">安徽省滁州市凤凰东路476号城管大厦6楼会议室 </w:t>
            </w:r>
          </w:p>
        </w:tc>
      </w:tr>
      <w:tr>
        <w:tblPrEx>
          <w:tblCellMar>
            <w:top w:w="0" w:type="dxa"/>
            <w:left w:w="0" w:type="dxa"/>
            <w:bottom w:w="0" w:type="dxa"/>
            <w:right w:w="0" w:type="dxa"/>
          </w:tblCellMar>
        </w:tblPrEx>
        <w:trPr>
          <w:trHeight w:val="786"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开标</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开标时间：</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开标地点</w:t>
            </w:r>
            <w:r>
              <w:rPr>
                <w:rFonts w:hint="eastAsia" w:ascii="宋体" w:hAnsi="宋体" w:eastAsia="宋体" w:cs="宋体"/>
                <w:color w:val="auto"/>
                <w:kern w:val="0"/>
                <w:sz w:val="21"/>
                <w:szCs w:val="21"/>
                <w:highlight w:val="none"/>
                <w:lang w:eastAsia="zh-CN"/>
              </w:rPr>
              <w:t>：</w:t>
            </w:r>
            <w:r>
              <w:rPr>
                <w:rFonts w:hint="eastAsia" w:ascii="宋体" w:hAnsi="宋体" w:cs="宋体"/>
                <w:color w:val="auto"/>
                <w:kern w:val="10"/>
                <w:sz w:val="21"/>
                <w:szCs w:val="21"/>
                <w:highlight w:val="none"/>
                <w:lang w:val="en-US" w:eastAsia="zh-CN"/>
              </w:rPr>
              <w:t xml:space="preserve">安徽省滁州市凤凰东路476号城管大厦6楼会议室 </w:t>
            </w:r>
          </w:p>
        </w:tc>
      </w:tr>
      <w:tr>
        <w:tblPrEx>
          <w:tblCellMar>
            <w:top w:w="0" w:type="dxa"/>
            <w:left w:w="0" w:type="dxa"/>
            <w:bottom w:w="0" w:type="dxa"/>
            <w:right w:w="0" w:type="dxa"/>
          </w:tblCellMar>
        </w:tblPrEx>
        <w:trPr>
          <w:trHeight w:val="786"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代理费及</w:t>
            </w:r>
            <w:r>
              <w:rPr>
                <w:rFonts w:hint="eastAsia" w:ascii="宋体" w:hAnsi="宋体" w:eastAsia="宋体" w:cs="宋体"/>
                <w:color w:val="auto"/>
                <w:kern w:val="0"/>
                <w:sz w:val="21"/>
                <w:szCs w:val="21"/>
                <w:highlight w:val="none"/>
                <w:lang w:val="en-US" w:eastAsia="zh-CN"/>
              </w:rPr>
              <w:t>专家评审费</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代理费：2000元；</w:t>
            </w:r>
            <w:r>
              <w:rPr>
                <w:rFonts w:hint="eastAsia" w:ascii="宋体" w:hAnsi="宋体" w:eastAsia="宋体" w:cs="宋体"/>
                <w:color w:val="auto"/>
                <w:kern w:val="0"/>
                <w:sz w:val="21"/>
                <w:szCs w:val="21"/>
                <w:highlight w:val="none"/>
              </w:rPr>
              <w:t>专家评审费具体以实际发生费用为准；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代理费及</w:t>
            </w:r>
            <w:r>
              <w:rPr>
                <w:rFonts w:hint="eastAsia" w:ascii="宋体" w:hAnsi="宋体" w:eastAsia="宋体" w:cs="宋体"/>
                <w:color w:val="auto"/>
                <w:kern w:val="0"/>
                <w:sz w:val="21"/>
                <w:szCs w:val="21"/>
                <w:highlight w:val="none"/>
              </w:rPr>
              <w:t>专家费支付主体：中标单位在领取中标通知书前一次性支付给代理公司，含在投标报价让利中。</w:t>
            </w:r>
          </w:p>
        </w:tc>
      </w:tr>
      <w:tr>
        <w:tblPrEx>
          <w:tblCellMar>
            <w:top w:w="0" w:type="dxa"/>
            <w:left w:w="0" w:type="dxa"/>
            <w:bottom w:w="0" w:type="dxa"/>
            <w:right w:w="0" w:type="dxa"/>
          </w:tblCellMar>
        </w:tblPrEx>
        <w:trPr>
          <w:trHeight w:val="786"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0"/>
                <w:sz w:val="21"/>
                <w:szCs w:val="21"/>
                <w:highlight w:val="none"/>
                <w:lang w:val="en-US" w:eastAsia="zh-CN"/>
              </w:rPr>
            </w:pPr>
            <w:bookmarkStart w:id="0" w:name="_Toc25340"/>
            <w:r>
              <w:rPr>
                <w:rFonts w:hint="eastAsia" w:ascii="宋体" w:hAnsi="宋体" w:cs="宋体"/>
                <w:color w:val="auto"/>
                <w:kern w:val="0"/>
                <w:sz w:val="21"/>
                <w:szCs w:val="21"/>
                <w:highlight w:val="none"/>
                <w:lang w:val="en-US" w:eastAsia="zh-CN"/>
              </w:rPr>
              <w:t>13</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付款方式</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color w:val="auto"/>
                <w:kern w:val="0"/>
                <w:sz w:val="21"/>
                <w:szCs w:val="21"/>
                <w:highlight w:val="none"/>
                <w:lang w:val="en-US" w:eastAsia="zh-CN"/>
              </w:rPr>
            </w:pPr>
            <w:r>
              <w:rPr>
                <w:rFonts w:hint="default" w:ascii="宋体" w:hAnsi="宋体" w:eastAsia="宋体" w:cs="宋体"/>
                <w:color w:val="auto"/>
                <w:kern w:val="0"/>
                <w:sz w:val="21"/>
                <w:szCs w:val="21"/>
                <w:highlight w:val="none"/>
                <w:lang w:val="en-US" w:eastAsia="zh-CN"/>
              </w:rPr>
              <w:t>（一）付款方式：</w:t>
            </w:r>
            <w:r>
              <w:rPr>
                <w:rFonts w:hint="eastAsia" w:ascii="宋体" w:hAnsi="宋体" w:cs="宋体"/>
                <w:color w:val="auto"/>
                <w:kern w:val="0"/>
                <w:sz w:val="21"/>
                <w:szCs w:val="21"/>
                <w:highlight w:val="none"/>
                <w:lang w:val="en-US" w:eastAsia="zh-CN"/>
              </w:rPr>
              <w:t>本</w:t>
            </w:r>
            <w:r>
              <w:rPr>
                <w:rFonts w:hint="default" w:ascii="宋体" w:hAnsi="宋体" w:eastAsia="宋体" w:cs="宋体"/>
                <w:color w:val="auto"/>
                <w:kern w:val="0"/>
                <w:sz w:val="21"/>
                <w:szCs w:val="21"/>
                <w:highlight w:val="none"/>
                <w:lang w:val="en-US" w:eastAsia="zh-CN"/>
              </w:rPr>
              <w:t>项目不支付预付款，中标人完成项目基坑监测提交正式成果报告及资料（6份）付总价50%，沉降观测全部服务内容完成并提交正式成果报告及资料（6份），经甲方确认后一次性付清余款；</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color w:val="auto"/>
                <w:kern w:val="0"/>
                <w:sz w:val="21"/>
                <w:szCs w:val="21"/>
                <w:highlight w:val="none"/>
                <w:lang w:val="en-US" w:eastAsia="zh-CN"/>
              </w:rPr>
            </w:pPr>
            <w:r>
              <w:rPr>
                <w:rFonts w:hint="default" w:ascii="宋体" w:hAnsi="宋体" w:eastAsia="宋体" w:cs="宋体"/>
                <w:color w:val="auto"/>
                <w:kern w:val="0"/>
                <w:sz w:val="21"/>
                <w:szCs w:val="21"/>
                <w:highlight w:val="none"/>
                <w:lang w:val="en-US" w:eastAsia="zh-CN"/>
              </w:rPr>
              <w:t>（二）发票要求：提供不低于3%税率的增值税专用发票。</w:t>
            </w:r>
          </w:p>
        </w:tc>
      </w:tr>
      <w:tr>
        <w:tblPrEx>
          <w:tblCellMar>
            <w:top w:w="0" w:type="dxa"/>
            <w:left w:w="0" w:type="dxa"/>
            <w:bottom w:w="0" w:type="dxa"/>
            <w:right w:w="0" w:type="dxa"/>
          </w:tblCellMar>
        </w:tblPrEx>
        <w:trPr>
          <w:trHeight w:val="211" w:hRule="atLeast"/>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w:t>
            </w:r>
          </w:p>
        </w:tc>
        <w:tc>
          <w:tcPr>
            <w:tcW w:w="140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履约保证金</w:t>
            </w:r>
          </w:p>
        </w:tc>
        <w:tc>
          <w:tcPr>
            <w:tcW w:w="786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是否收取履约担保：收取</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形式：支持银行转账、银行保函（见索即付无条件保函）、担保保函、商业保险、第三方担保（无条件担保）使用</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金   额：中标合同金额×2% </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szCs w:val="21"/>
                <w:highlight w:val="none"/>
                <w:u w:val="none"/>
                <w:lang w:val="en-US" w:eastAsia="zh-CN"/>
              </w:rPr>
            </w:pPr>
            <w:r>
              <w:rPr>
                <w:rFonts w:hint="eastAsia" w:ascii="宋体" w:hAnsi="宋体" w:eastAsia="宋体" w:cs="宋体"/>
                <w:color w:val="auto"/>
                <w:sz w:val="21"/>
                <w:szCs w:val="21"/>
                <w:highlight w:val="none"/>
              </w:rPr>
              <w:t>收款单位：</w:t>
            </w:r>
            <w:r>
              <w:rPr>
                <w:rFonts w:hint="eastAsia" w:ascii="宋体" w:hAnsi="宋体" w:cs="宋体"/>
                <w:color w:val="auto"/>
                <w:szCs w:val="21"/>
                <w:highlight w:val="none"/>
                <w:u w:val="none"/>
              </w:rPr>
              <w:t>单位名称 ：滁州市鑫鼎城市更新建设运营有限公司</w:t>
            </w:r>
            <w:r>
              <w:rPr>
                <w:rFonts w:hint="eastAsia" w:ascii="宋体" w:hAnsi="宋体" w:cs="宋体"/>
                <w:color w:val="auto"/>
                <w:szCs w:val="21"/>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u w:val="none"/>
                <w:lang w:eastAsia="zh-CN"/>
              </w:rPr>
            </w:pPr>
            <w:r>
              <w:rPr>
                <w:rFonts w:hint="eastAsia" w:ascii="宋体" w:hAnsi="宋体" w:cs="宋体"/>
                <w:color w:val="auto"/>
                <w:szCs w:val="21"/>
                <w:highlight w:val="none"/>
                <w:u w:val="none"/>
              </w:rPr>
              <w:t>纳税人识别号：1341100MA2UABTK03</w:t>
            </w:r>
            <w:r>
              <w:rPr>
                <w:rFonts w:hint="eastAsia" w:ascii="宋体" w:hAnsi="宋体" w:cs="宋体"/>
                <w:color w:val="auto"/>
                <w:szCs w:val="21"/>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地址：安徽省滁州市琅邪区凤凰东路476号投资大厦6楼</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Cs w:val="21"/>
                <w:highlight w:val="none"/>
                <w:u w:val="none"/>
                <w:lang w:val="en-US" w:eastAsia="zh-CN"/>
              </w:rPr>
            </w:pPr>
            <w:r>
              <w:rPr>
                <w:rFonts w:hint="eastAsia" w:ascii="宋体" w:hAnsi="宋体" w:cs="宋体"/>
                <w:color w:val="auto"/>
                <w:szCs w:val="21"/>
                <w:highlight w:val="none"/>
                <w:u w:val="none"/>
              </w:rPr>
              <w:t>联系电话：0550-3801220</w:t>
            </w:r>
            <w:r>
              <w:rPr>
                <w:rFonts w:hint="eastAsia" w:ascii="宋体" w:hAnsi="宋体" w:cs="宋体"/>
                <w:color w:val="auto"/>
                <w:szCs w:val="21"/>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u w:val="none"/>
                <w:lang w:val="en-US" w:eastAsia="zh-CN"/>
              </w:rPr>
            </w:pPr>
            <w:r>
              <w:rPr>
                <w:rFonts w:hint="eastAsia" w:ascii="宋体" w:hAnsi="宋体" w:eastAsia="宋体" w:cs="宋体"/>
                <w:color w:val="auto"/>
                <w:szCs w:val="21"/>
                <w:highlight w:val="none"/>
                <w:u w:val="none"/>
                <w:lang w:val="en-US" w:eastAsia="zh-CN"/>
              </w:rPr>
              <w:t>开户行：交通银行滁州分行营业部</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lang w:val="en-US" w:eastAsia="zh-CN"/>
              </w:rPr>
              <w:t xml:space="preserve">账号：350220000013000010946 </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缴纳时限：</w:t>
            </w:r>
            <w:r>
              <w:rPr>
                <w:rFonts w:hint="eastAsia" w:ascii="宋体" w:hAnsi="宋体" w:eastAsia="宋体" w:cs="宋体"/>
                <w:color w:val="auto"/>
                <w:sz w:val="21"/>
                <w:szCs w:val="21"/>
                <w:highlight w:val="none"/>
                <w:lang w:val="en-US" w:eastAsia="zh-CN"/>
              </w:rPr>
              <w:t>签订合同</w:t>
            </w:r>
            <w:r>
              <w:rPr>
                <w:rFonts w:hint="eastAsia" w:ascii="宋体" w:hAnsi="宋体" w:cs="宋体"/>
                <w:color w:val="auto"/>
                <w:sz w:val="21"/>
                <w:szCs w:val="21"/>
                <w:highlight w:val="none"/>
                <w:lang w:val="en-US" w:eastAsia="zh-CN"/>
              </w:rPr>
              <w:t>前</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履约保证金退还时限：履约保证金有效期满7日内。</w:t>
            </w:r>
          </w:p>
          <w:p>
            <w:pPr>
              <w:pStyle w:val="13"/>
              <w:keepNext w:val="0"/>
              <w:keepLines w:val="0"/>
              <w:pageBreakBefore w:val="0"/>
              <w:kinsoku/>
              <w:wordWrap/>
              <w:overflowPunct/>
              <w:topLinePunct w:val="0"/>
              <w:autoSpaceDE/>
              <w:autoSpaceDN/>
              <w:bidi w:val="0"/>
              <w:adjustRightInd w:val="0"/>
              <w:snapToGrid w:val="0"/>
              <w:spacing w:after="0" w:afterLines="0" w:line="360" w:lineRule="exact"/>
              <w:ind w:left="0" w:leftChars="0" w:firstLine="0" w:firstLineChars="0"/>
              <w:jc w:val="left"/>
              <w:textAlignment w:val="auto"/>
              <w:rPr>
                <w:rFonts w:hint="eastAsia" w:ascii="宋体" w:hAnsi="宋体" w:eastAsia="宋体" w:cs="宋体"/>
                <w:color w:val="auto"/>
                <w:position w:val="6"/>
                <w:sz w:val="21"/>
                <w:szCs w:val="21"/>
                <w:highlight w:val="none"/>
                <w:u w:val="none"/>
              </w:rPr>
            </w:pPr>
            <w:r>
              <w:rPr>
                <w:rFonts w:hint="eastAsia" w:ascii="宋体" w:hAnsi="宋体" w:eastAsia="宋体" w:cs="宋体"/>
                <w:color w:val="auto"/>
                <w:position w:val="6"/>
                <w:sz w:val="21"/>
                <w:szCs w:val="21"/>
                <w:highlight w:val="none"/>
                <w:u w:val="none"/>
              </w:rPr>
              <w:t>其他相关要求：</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采用银行保函的具体要求:</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①保函</w:t>
            </w:r>
            <w:r>
              <w:rPr>
                <w:rFonts w:hint="eastAsia" w:ascii="宋体" w:hAnsi="宋体" w:eastAsia="宋体" w:cs="宋体"/>
                <w:color w:val="auto"/>
                <w:sz w:val="21"/>
                <w:szCs w:val="21"/>
                <w:highlight w:val="none"/>
                <w:lang w:val="en-US" w:eastAsia="zh-CN"/>
              </w:rPr>
              <w:t>应为不可撤销、不可转让的见索即付型保函（</w:t>
            </w:r>
            <w:r>
              <w:rPr>
                <w:rFonts w:hint="eastAsia" w:ascii="宋体" w:hAnsi="宋体" w:eastAsia="宋体" w:cs="宋体"/>
                <w:color w:val="auto"/>
                <w:sz w:val="21"/>
                <w:szCs w:val="21"/>
                <w:highlight w:val="none"/>
              </w:rPr>
              <w:t>无条件保函）；</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②须从中标人基本账户办理；</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③须有保函编号；</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④须加盖银行公章而非银行业务专用章</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⑤须经招标人认可。</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采用担保保函的具体要求：</w:t>
            </w:r>
            <w:r>
              <w:rPr>
                <w:rFonts w:hint="eastAsia" w:ascii="宋体" w:hAnsi="宋体" w:eastAsia="宋体" w:cs="宋体"/>
                <w:color w:val="auto"/>
                <w:sz w:val="21"/>
                <w:szCs w:val="21"/>
                <w:highlight w:val="none"/>
                <w:lang w:val="en-US" w:eastAsia="zh-CN"/>
              </w:rPr>
              <w:t>须经招标人认可</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采用商业保险的具体要求：</w:t>
            </w:r>
            <w:r>
              <w:rPr>
                <w:rFonts w:hint="eastAsia" w:ascii="宋体" w:hAnsi="宋体" w:eastAsia="宋体" w:cs="宋体"/>
                <w:color w:val="auto"/>
                <w:sz w:val="21"/>
                <w:szCs w:val="21"/>
                <w:highlight w:val="none"/>
                <w:lang w:val="en-US" w:eastAsia="zh-CN"/>
              </w:rPr>
              <w:t>须经招标人认可</w:t>
            </w:r>
          </w:p>
          <w:p>
            <w:pPr>
              <w:pStyle w:val="13"/>
              <w:keepNext w:val="0"/>
              <w:keepLines w:val="0"/>
              <w:pageBreakBefore w:val="0"/>
              <w:numPr>
                <w:ilvl w:val="0"/>
                <w:numId w:val="0"/>
              </w:numPr>
              <w:kinsoku/>
              <w:wordWrap/>
              <w:overflowPunct/>
              <w:topLinePunct w:val="0"/>
              <w:autoSpaceDE/>
              <w:autoSpaceDN/>
              <w:bidi w:val="0"/>
              <w:adjustRightInd w:val="0"/>
              <w:snapToGrid w:val="0"/>
              <w:spacing w:after="0" w:afterLines="0" w:line="360" w:lineRule="exact"/>
              <w:ind w:leftChars="0"/>
              <w:jc w:val="left"/>
              <w:textAlignment w:val="auto"/>
              <w:rPr>
                <w:rFonts w:hint="eastAsia" w:ascii="宋体" w:hAnsi="宋体" w:eastAsia="宋体" w:cs="宋体"/>
                <w:color w:val="auto"/>
                <w:position w:val="6"/>
                <w:sz w:val="21"/>
                <w:szCs w:val="21"/>
                <w:highlight w:val="none"/>
                <w:u w:val="none"/>
              </w:rPr>
            </w:pPr>
            <w:r>
              <w:rPr>
                <w:rFonts w:hint="eastAsia" w:ascii="宋体" w:hAnsi="宋体" w:eastAsia="宋体" w:cs="宋体"/>
                <w:color w:val="auto"/>
                <w:position w:val="6"/>
                <w:sz w:val="21"/>
                <w:szCs w:val="21"/>
                <w:highlight w:val="none"/>
                <w:u w:val="none"/>
                <w:lang w:val="en-US" w:eastAsia="zh-CN"/>
              </w:rPr>
              <w:t>4、</w:t>
            </w:r>
            <w:r>
              <w:rPr>
                <w:rFonts w:hint="eastAsia" w:ascii="宋体" w:hAnsi="宋体" w:eastAsia="宋体" w:cs="宋体"/>
                <w:color w:val="auto"/>
                <w:position w:val="6"/>
                <w:sz w:val="21"/>
                <w:szCs w:val="21"/>
                <w:highlight w:val="none"/>
                <w:u w:val="none"/>
              </w:rPr>
              <w:t>采用第三方担保的具体要求：须经招标人认可</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position w:val="6"/>
                <w:sz w:val="21"/>
                <w:szCs w:val="21"/>
                <w:highlight w:val="none"/>
                <w:u w:val="none"/>
                <w:lang w:val="en-US" w:eastAsia="zh-CN"/>
              </w:rPr>
              <w:t>5、</w:t>
            </w:r>
            <w:r>
              <w:rPr>
                <w:rFonts w:hint="eastAsia" w:ascii="宋体" w:hAnsi="宋体" w:eastAsia="宋体" w:cs="宋体"/>
                <w:color w:val="auto"/>
                <w:position w:val="6"/>
                <w:sz w:val="21"/>
                <w:szCs w:val="21"/>
                <w:highlight w:val="none"/>
                <w:u w:val="none"/>
              </w:rPr>
              <w:t>联合体参加投标且中标的，以联合体牵头人的名义按上述要求缴纳履约担保。</w:t>
            </w:r>
          </w:p>
        </w:tc>
      </w:tr>
    </w:tbl>
    <w:p>
      <w:pPr>
        <w:pStyle w:val="12"/>
        <w:rPr>
          <w:rFonts w:hint="eastAsia"/>
          <w:color w:val="auto"/>
          <w:highlight w:val="none"/>
        </w:rPr>
      </w:pPr>
    </w:p>
    <w:p>
      <w:pPr>
        <w:rPr>
          <w:rFonts w:hint="eastAsia"/>
          <w:color w:val="auto"/>
          <w:highlight w:val="none"/>
        </w:rPr>
      </w:pPr>
    </w:p>
    <w:p>
      <w:pPr>
        <w:pStyle w:val="2"/>
        <w:spacing w:before="0" w:after="0"/>
        <w:rPr>
          <w:rFonts w:hint="eastAsia" w:ascii="宋体" w:hAnsi="宋体" w:eastAsia="宋体" w:cs="宋体"/>
          <w:color w:val="auto"/>
          <w:highlight w:val="none"/>
        </w:rPr>
      </w:pPr>
    </w:p>
    <w:p>
      <w:pPr>
        <w:pStyle w:val="2"/>
        <w:spacing w:before="0" w:after="0"/>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rPr>
        <w:t>章投标须知</w:t>
      </w:r>
      <w:bookmarkEnd w:id="0"/>
    </w:p>
    <w:p>
      <w:pPr>
        <w:spacing w:line="400" w:lineRule="exact"/>
        <w:jc w:val="center"/>
        <w:outlineLvl w:val="1"/>
        <w:rPr>
          <w:rFonts w:hint="eastAsia" w:ascii="宋体" w:hAnsi="宋体" w:eastAsia="宋体" w:cs="宋体"/>
          <w:b/>
          <w:bCs/>
          <w:color w:val="auto"/>
          <w:sz w:val="28"/>
          <w:highlight w:val="none"/>
        </w:rPr>
      </w:pPr>
      <w:bookmarkStart w:id="1" w:name="_Toc515"/>
      <w:r>
        <w:rPr>
          <w:rFonts w:hint="eastAsia" w:ascii="宋体" w:hAnsi="宋体" w:eastAsia="宋体" w:cs="宋体"/>
          <w:b/>
          <w:bCs/>
          <w:color w:val="auto"/>
          <w:sz w:val="28"/>
          <w:highlight w:val="none"/>
        </w:rPr>
        <w:t>一、总  则</w:t>
      </w:r>
      <w:bookmarkEnd w:id="1"/>
    </w:p>
    <w:p>
      <w:pPr>
        <w:keepNext w:val="0"/>
        <w:keepLines w:val="0"/>
        <w:pageBreakBefore w:val="0"/>
        <w:widowControl w:val="0"/>
        <w:kinsoku/>
        <w:wordWrap/>
        <w:overflowPunct/>
        <w:topLinePunct w:val="0"/>
        <w:autoSpaceDE/>
        <w:autoSpaceDN/>
        <w:bidi w:val="0"/>
        <w:adjustRightInd/>
        <w:snapToGrid/>
        <w:spacing w:line="510" w:lineRule="exact"/>
        <w:ind w:left="0" w:lef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1.工程概况</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1.1本次招标</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lang w:eastAsia="zh-CN"/>
        </w:rPr>
        <w:t>亭城玺悦里基坑监测、沉降观测项目</w:t>
      </w:r>
    </w:p>
    <w:p>
      <w:pPr>
        <w:keepNext w:val="0"/>
        <w:keepLines w:val="0"/>
        <w:pageBreakBefore w:val="0"/>
        <w:widowControl w:val="0"/>
        <w:kinsoku/>
        <w:wordWrap/>
        <w:overflowPunct/>
        <w:topLinePunct w:val="0"/>
        <w:autoSpaceDE/>
        <w:autoSpaceDN/>
        <w:bidi w:val="0"/>
        <w:adjustRightInd/>
        <w:snapToGrid/>
        <w:spacing w:line="510" w:lineRule="exact"/>
        <w:ind w:left="1050" w:leftChars="0" w:hanging="1050" w:hangingChars="5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工程地址：</w:t>
      </w:r>
      <w:r>
        <w:rPr>
          <w:rFonts w:hint="eastAsia" w:ascii="宋体" w:hAnsi="宋体" w:eastAsia="宋体" w:cs="宋体"/>
          <w:color w:val="auto"/>
          <w:sz w:val="21"/>
          <w:szCs w:val="21"/>
          <w:highlight w:val="none"/>
          <w:u w:val="single"/>
        </w:rPr>
        <w:t>滁州市</w:t>
      </w:r>
      <w:r>
        <w:rPr>
          <w:rFonts w:hint="eastAsia" w:ascii="宋体" w:hAnsi="宋体" w:eastAsia="宋体" w:cs="宋体"/>
          <w:color w:val="auto"/>
          <w:sz w:val="21"/>
          <w:szCs w:val="21"/>
          <w:highlight w:val="none"/>
          <w:u w:val="single"/>
          <w:lang w:val="en-US" w:eastAsia="zh-CN"/>
        </w:rPr>
        <w:t>内</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u w:val="single"/>
          <w:lang w:val="en-US" w:eastAsia="zh-CN"/>
        </w:rPr>
        <w:t>滁州市鑫鼎城市更新建设运营有限公司</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1.2本工程建设规模：项目占地71亩，建筑面积约</w:t>
      </w:r>
      <w:r>
        <w:rPr>
          <w:rFonts w:hint="eastAsia" w:ascii="宋体" w:hAnsi="宋体" w:cs="宋体"/>
          <w:color w:val="auto"/>
          <w:sz w:val="21"/>
          <w:szCs w:val="21"/>
          <w:highlight w:val="none"/>
          <w:lang w:val="en-US" w:eastAsia="zh-CN"/>
        </w:rPr>
        <w:t>10.9万</w:t>
      </w:r>
      <w:r>
        <w:rPr>
          <w:rFonts w:hint="eastAsia" w:ascii="宋体" w:hAnsi="宋体" w:eastAsia="宋体" w:cs="宋体"/>
          <w:color w:val="auto"/>
          <w:sz w:val="21"/>
          <w:szCs w:val="21"/>
          <w:highlight w:val="none"/>
        </w:rPr>
        <w:t>平方米</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本项目服务费用约18.66万元</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招标范围</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2.1主要内容包括（但不限于）：基坑监测、建筑物沉降观测及招标人根据实际需求增加的内容，以及其他设计、行业及国家有关现行技术规范、规程、标准规定的监测项目和甲方安排的为保障项目的质量、安全和使用的其他监测内容。</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备注：</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（1）本项目的监测包含但不限于以上监测内容, 所有监测内容均必须严格按照规范规定、设计和竣工验收的要求进行检测，并达到竣工验收条件。</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（2）本项目的监测需要同时满足设计要求、相关主管部门要求、甲方要求。</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（3）如对相关规范、图纸理解存在争议，以甲方（监理、设计）意见为准。</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对于中标人资质从业范围内无法满足该项目的监测项目，由中标机构委托（须经业主认可）具备相应能力、资质的单位完成，并出具相应的报告，但所有费用应包含在本次投标报价中，且中标人必须对所有报告负总责。</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3.承包方式</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3.1承包方式：</w:t>
      </w:r>
      <w:r>
        <w:rPr>
          <w:rFonts w:hint="eastAsia" w:ascii="宋体" w:hAnsi="宋体" w:cs="宋体"/>
          <w:color w:val="auto"/>
          <w:sz w:val="21"/>
          <w:szCs w:val="21"/>
          <w:highlight w:val="none"/>
          <w:u w:val="single"/>
          <w:lang w:val="en-US" w:eastAsia="zh-CN"/>
        </w:rPr>
        <w:t>总承包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4.服务期要求</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4.1服务期要求</w:t>
      </w:r>
      <w:r>
        <w:rPr>
          <w:rFonts w:hint="eastAsia" w:ascii="宋体" w:hAnsi="宋体" w:eastAsia="宋体" w:cs="宋体"/>
          <w:color w:val="auto"/>
          <w:kern w:val="0"/>
          <w:sz w:val="21"/>
          <w:szCs w:val="21"/>
          <w:highlight w:val="none"/>
        </w:rPr>
        <w:t>：自监测合同签署之日至所监测的项目内容全部施工完毕且竣工验收合格为止。中标后3个工作日内提供经招标人认可的详细工作计划。</w:t>
      </w:r>
    </w:p>
    <w:p>
      <w:pPr>
        <w:keepNext w:val="0"/>
        <w:keepLines w:val="0"/>
        <w:pageBreakBefore w:val="0"/>
        <w:widowControl w:val="0"/>
        <w:kinsoku/>
        <w:wordWrap/>
        <w:overflowPunct/>
        <w:topLinePunct w:val="0"/>
        <w:autoSpaceDE/>
        <w:autoSpaceDN/>
        <w:bidi w:val="0"/>
        <w:spacing w:line="510" w:lineRule="exac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5.质量要求</w:t>
      </w:r>
    </w:p>
    <w:p>
      <w:pPr>
        <w:keepNext w:val="0"/>
        <w:keepLines w:val="0"/>
        <w:pageBreakBefore w:val="0"/>
        <w:widowControl w:val="0"/>
        <w:kinsoku/>
        <w:wordWrap/>
        <w:overflowPunct/>
        <w:topLinePunct w:val="0"/>
        <w:autoSpaceDE/>
        <w:autoSpaceDN/>
        <w:bidi w:val="0"/>
        <w:spacing w:line="510" w:lineRule="exac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5.1服务成果应达到或满足国家规程、规范及招标人要求的质量目标，满足工程施工及竣工验收要求。</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6.投标人资质等级要求</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详见《投标须知前附表》要求。</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7.资金来源</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7.1资金来源：</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自筹</w:t>
      </w:r>
      <w:r>
        <w:rPr>
          <w:rFonts w:hint="eastAsia" w:ascii="宋体" w:hAnsi="宋体" w:eastAsia="宋体" w:cs="宋体"/>
          <w:color w:val="auto"/>
          <w:sz w:val="21"/>
          <w:szCs w:val="21"/>
          <w:highlight w:val="none"/>
          <w:u w:val="single"/>
        </w:rPr>
        <w:t xml:space="preserve">资金 </w:t>
      </w:r>
      <w:r>
        <w:rPr>
          <w:rFonts w:hint="eastAsia" w:ascii="宋体" w:hAnsi="宋体" w:eastAsia="宋体" w:cs="宋体"/>
          <w:color w:val="auto"/>
          <w:sz w:val="21"/>
          <w:szCs w:val="21"/>
          <w:highlight w:val="none"/>
        </w:rPr>
        <w:t>；资金已落实。</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8.标段划分</w:t>
      </w:r>
    </w:p>
    <w:p>
      <w:pPr>
        <w:keepNext w:val="0"/>
        <w:keepLines w:val="0"/>
        <w:pageBreakBefore w:val="0"/>
        <w:widowControl w:val="0"/>
        <w:kinsoku/>
        <w:wordWrap/>
        <w:overflowPunct/>
        <w:topLinePunct w:val="0"/>
        <w:autoSpaceDE/>
        <w:autoSpaceDN/>
        <w:bidi w:val="0"/>
        <w:spacing w:line="510" w:lineRule="exact"/>
        <w:ind w:right="-155" w:rightChars="-74"/>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8.1该工程划分：</w:t>
      </w:r>
      <w:r>
        <w:rPr>
          <w:rFonts w:hint="eastAsia" w:ascii="宋体" w:hAnsi="宋体" w:eastAsia="宋体" w:cs="宋体"/>
          <w:color w:val="auto"/>
          <w:sz w:val="21"/>
          <w:szCs w:val="21"/>
          <w:highlight w:val="none"/>
          <w:u w:val="single"/>
        </w:rPr>
        <w:t xml:space="preserve"> 一 </w:t>
      </w:r>
      <w:r>
        <w:rPr>
          <w:rFonts w:hint="eastAsia" w:ascii="宋体" w:hAnsi="宋体" w:eastAsia="宋体" w:cs="宋体"/>
          <w:color w:val="auto"/>
          <w:sz w:val="21"/>
          <w:szCs w:val="21"/>
          <w:highlight w:val="none"/>
        </w:rPr>
        <w:t xml:space="preserve">个标段  </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9.招标方式</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9.1本工程招标方式：</w:t>
      </w:r>
      <w:r>
        <w:rPr>
          <w:rFonts w:hint="eastAsia" w:ascii="宋体" w:hAnsi="宋体" w:eastAsia="宋体" w:cs="宋体"/>
          <w:color w:val="auto"/>
          <w:sz w:val="21"/>
          <w:szCs w:val="21"/>
          <w:highlight w:val="none"/>
          <w:u w:val="single"/>
        </w:rPr>
        <w:t xml:space="preserve"> 自行招标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10.计价方式</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10.1本工程合同计价方式：</w:t>
      </w:r>
      <w:r>
        <w:rPr>
          <w:rFonts w:hint="eastAsia" w:ascii="宋体" w:hAnsi="宋体" w:eastAsia="宋体" w:cs="宋体"/>
          <w:color w:val="auto"/>
          <w:sz w:val="21"/>
          <w:szCs w:val="21"/>
          <w:highlight w:val="none"/>
          <w:u w:val="single"/>
        </w:rPr>
        <w:t>固定</w:t>
      </w:r>
      <w:r>
        <w:rPr>
          <w:rFonts w:hint="eastAsia" w:ascii="宋体" w:hAnsi="宋体" w:cs="宋体"/>
          <w:color w:val="auto"/>
          <w:sz w:val="21"/>
          <w:szCs w:val="21"/>
          <w:highlight w:val="none"/>
          <w:u w:val="single"/>
          <w:lang w:val="en-US" w:eastAsia="zh-CN"/>
        </w:rPr>
        <w:t>总价</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11.评标办法</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11.1本工程评标办法：</w:t>
      </w:r>
      <w:r>
        <w:rPr>
          <w:rFonts w:hint="eastAsia" w:ascii="宋体" w:hAnsi="宋体" w:eastAsia="宋体" w:cs="宋体"/>
          <w:color w:val="auto"/>
          <w:sz w:val="21"/>
          <w:szCs w:val="21"/>
          <w:highlight w:val="none"/>
          <w:u w:val="single"/>
        </w:rPr>
        <w:t xml:space="preserve"> 合理低价法 </w:t>
      </w:r>
      <w:r>
        <w:rPr>
          <w:rFonts w:hint="eastAsia" w:ascii="宋体" w:hAnsi="宋体" w:eastAsia="宋体" w:cs="宋体"/>
          <w:color w:val="auto"/>
          <w:sz w:val="21"/>
          <w:szCs w:val="21"/>
          <w:highlight w:val="none"/>
        </w:rPr>
        <w:t>（详见第</w:t>
      </w: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rPr>
        <w:t>章评标办法）。</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highlight w:val="none"/>
        </w:rPr>
      </w:pPr>
      <w:bookmarkStart w:id="2" w:name="_Toc29988"/>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highlight w:val="none"/>
        </w:rPr>
      </w:pPr>
      <w:r>
        <w:rPr>
          <w:rFonts w:hint="eastAsia" w:ascii="宋体" w:hAnsi="宋体" w:eastAsia="宋体" w:cs="宋体"/>
          <w:color w:val="auto"/>
          <w:sz w:val="28"/>
          <w:highlight w:val="none"/>
        </w:rPr>
        <w:t>二、招标文件</w:t>
      </w:r>
      <w:bookmarkEnd w:id="2"/>
    </w:p>
    <w:p>
      <w:pPr>
        <w:keepNext w:val="0"/>
        <w:keepLines w:val="0"/>
        <w:pageBreakBefore w:val="0"/>
        <w:widowControl w:val="0"/>
        <w:kinsoku/>
        <w:wordWrap/>
        <w:overflowPunct/>
        <w:topLinePunct w:val="0"/>
        <w:autoSpaceDE/>
        <w:autoSpaceDN/>
        <w:bidi w:val="0"/>
        <w:spacing w:line="510" w:lineRule="exact"/>
        <w:jc w:val="center"/>
        <w:textAlignment w:val="auto"/>
        <w:rPr>
          <w:rFonts w:hint="eastAsia" w:ascii="宋体" w:hAnsi="宋体" w:eastAsia="宋体" w:cs="宋体"/>
          <w:color w:val="auto"/>
          <w:sz w:val="28"/>
          <w:highlight w:val="none"/>
        </w:rPr>
      </w:pP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招标文件的编制依据</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   根据《中华人民共和国招标投标法》、《工程建设项目施工招标投标办法》（七部委联合部令第30号）等相关法律法规和规章及部、省、市级规范性文件的规定，编制本招标文件。</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13.</w:t>
      </w:r>
      <w:r>
        <w:rPr>
          <w:rFonts w:hint="eastAsia" w:ascii="宋体" w:hAnsi="宋体" w:eastAsia="宋体" w:cs="宋体"/>
          <w:bCs/>
          <w:color w:val="auto"/>
          <w:sz w:val="21"/>
          <w:szCs w:val="21"/>
          <w:highlight w:val="none"/>
        </w:rPr>
        <w:t>招标文件的组成</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  招标文件包括内容：</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第一章  投标须知</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第二章  </w:t>
      </w:r>
      <w:r>
        <w:rPr>
          <w:rFonts w:hint="eastAsia" w:ascii="宋体" w:hAnsi="宋体" w:cs="宋体"/>
          <w:color w:val="auto"/>
          <w:sz w:val="21"/>
          <w:szCs w:val="21"/>
          <w:highlight w:val="none"/>
          <w:lang w:val="en-US" w:eastAsia="zh-CN"/>
        </w:rPr>
        <w:t>评标办法</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第三章  服务要求</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w:t>
      </w:r>
      <w:r>
        <w:rPr>
          <w:rFonts w:hint="eastAsia" w:ascii="宋体" w:hAnsi="宋体" w:cs="宋体"/>
          <w:color w:val="auto"/>
          <w:sz w:val="21"/>
          <w:szCs w:val="21"/>
          <w:highlight w:val="none"/>
          <w:lang w:val="en-US" w:eastAsia="zh-CN"/>
        </w:rPr>
        <w:t>四</w:t>
      </w:r>
      <w:r>
        <w:rPr>
          <w:rFonts w:hint="eastAsia" w:ascii="宋体" w:hAnsi="宋体" w:eastAsia="宋体" w:cs="宋体"/>
          <w:color w:val="auto"/>
          <w:sz w:val="21"/>
          <w:szCs w:val="21"/>
          <w:highlight w:val="none"/>
        </w:rPr>
        <w:t>章  合同条款</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w:t>
      </w:r>
      <w:r>
        <w:rPr>
          <w:rFonts w:hint="eastAsia" w:ascii="宋体" w:hAnsi="宋体" w:cs="宋体"/>
          <w:color w:val="auto"/>
          <w:sz w:val="21"/>
          <w:szCs w:val="21"/>
          <w:highlight w:val="none"/>
          <w:lang w:val="en-US" w:eastAsia="zh-CN"/>
        </w:rPr>
        <w:t>五</w:t>
      </w:r>
      <w:r>
        <w:rPr>
          <w:rFonts w:hint="eastAsia" w:ascii="宋体" w:hAnsi="宋体" w:eastAsia="宋体" w:cs="宋体"/>
          <w:color w:val="auto"/>
          <w:sz w:val="21"/>
          <w:szCs w:val="21"/>
          <w:highlight w:val="none"/>
        </w:rPr>
        <w:t>章  投标文件格式</w:t>
      </w:r>
    </w:p>
    <w:p>
      <w:pPr>
        <w:keepNext w:val="0"/>
        <w:keepLines w:val="0"/>
        <w:pageBreakBefore w:val="0"/>
        <w:widowControl w:val="0"/>
        <w:kinsoku/>
        <w:wordWrap/>
        <w:overflowPunct/>
        <w:topLinePunct w:val="0"/>
        <w:autoSpaceDE/>
        <w:autoSpaceDN/>
        <w:bidi w:val="0"/>
        <w:adjustRightInd w:val="0"/>
        <w:snapToGrid w:val="0"/>
        <w:spacing w:line="510" w:lineRule="exact"/>
        <w:ind w:firstLine="1050" w:firstLineChars="500"/>
        <w:textAlignment w:val="auto"/>
        <w:rPr>
          <w:rFonts w:hint="eastAsia" w:ascii="宋体" w:hAnsi="宋体" w:eastAsia="宋体" w:cs="宋体"/>
          <w:color w:val="auto"/>
          <w:spacing w:val="-20"/>
          <w:sz w:val="21"/>
          <w:szCs w:val="21"/>
          <w:highlight w:val="none"/>
        </w:rPr>
      </w:pPr>
      <w:r>
        <w:rPr>
          <w:rFonts w:hint="eastAsia" w:ascii="宋体" w:hAnsi="宋体" w:eastAsia="宋体" w:cs="宋体"/>
          <w:color w:val="auto"/>
          <w:sz w:val="21"/>
          <w:szCs w:val="21"/>
          <w:highlight w:val="none"/>
        </w:rPr>
        <w:t>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章  招标单位、招标代理机构对本招标文件的确认</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w:t>
      </w:r>
      <w:r>
        <w:rPr>
          <w:rFonts w:hint="eastAsia" w:ascii="宋体" w:hAnsi="宋体" w:eastAsia="宋体" w:cs="宋体"/>
          <w:color w:val="auto"/>
          <w:spacing w:val="-10"/>
          <w:sz w:val="21"/>
          <w:szCs w:val="21"/>
          <w:highlight w:val="none"/>
        </w:rPr>
        <w:t>除13.1内容外，招标答疑亦为招标文件的组成部分，对招标人和投标人起约束作用。</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13.3投标人应仔细检查招标文件的所有内容，</w:t>
      </w:r>
      <w:r>
        <w:rPr>
          <w:rFonts w:hint="eastAsia" w:ascii="宋体" w:hAnsi="宋体" w:eastAsia="宋体" w:cs="宋体"/>
          <w:bCs/>
          <w:color w:val="auto"/>
          <w:sz w:val="21"/>
          <w:szCs w:val="21"/>
          <w:highlight w:val="none"/>
        </w:rPr>
        <w:t>如有残缺等问题应在</w:t>
      </w:r>
      <w:r>
        <w:rPr>
          <w:rFonts w:hint="eastAsia" w:ascii="宋体" w:hAnsi="宋体" w:eastAsia="宋体" w:cs="宋体"/>
          <w:bCs/>
          <w:color w:val="auto"/>
          <w:sz w:val="21"/>
          <w:szCs w:val="21"/>
          <w:highlight w:val="none"/>
          <w:u w:val="single"/>
        </w:rPr>
        <w:t>202</w:t>
      </w:r>
      <w:r>
        <w:rPr>
          <w:rFonts w:hint="eastAsia" w:ascii="宋体" w:hAnsi="宋体" w:cs="宋体"/>
          <w:bCs/>
          <w:color w:val="auto"/>
          <w:sz w:val="21"/>
          <w:szCs w:val="21"/>
          <w:highlight w:val="none"/>
          <w:u w:val="single"/>
          <w:lang w:val="en-US" w:eastAsia="zh-CN"/>
        </w:rPr>
        <w:t>4</w:t>
      </w:r>
      <w:r>
        <w:rPr>
          <w:rFonts w:hint="eastAsia" w:ascii="宋体" w:hAnsi="宋体" w:eastAsia="宋体" w:cs="宋体"/>
          <w:bCs/>
          <w:color w:val="auto"/>
          <w:sz w:val="21"/>
          <w:szCs w:val="21"/>
          <w:highlight w:val="none"/>
          <w:u w:val="single"/>
        </w:rPr>
        <w:t>年</w:t>
      </w:r>
      <w:r>
        <w:rPr>
          <w:rFonts w:hint="eastAsia" w:ascii="宋体" w:hAnsi="宋体" w:cs="宋体"/>
          <w:bCs/>
          <w:color w:val="auto"/>
          <w:sz w:val="21"/>
          <w:szCs w:val="21"/>
          <w:highlight w:val="none"/>
          <w:u w:val="single"/>
          <w:lang w:val="en-US" w:eastAsia="zh-CN"/>
        </w:rPr>
        <w:t>5</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6</w:t>
      </w:r>
      <w:r>
        <w:rPr>
          <w:rFonts w:hint="eastAsia" w:ascii="宋体" w:hAnsi="宋体" w:eastAsia="宋体" w:cs="宋体"/>
          <w:bCs/>
          <w:color w:val="auto"/>
          <w:sz w:val="21"/>
          <w:szCs w:val="21"/>
          <w:highlight w:val="none"/>
          <w:u w:val="single"/>
        </w:rPr>
        <w:t>日</w:t>
      </w:r>
      <w:r>
        <w:rPr>
          <w:rFonts w:hint="eastAsia" w:ascii="宋体" w:hAnsi="宋体" w:cs="宋体"/>
          <w:bCs/>
          <w:color w:val="auto"/>
          <w:sz w:val="21"/>
          <w:szCs w:val="21"/>
          <w:highlight w:val="none"/>
          <w:u w:val="single"/>
          <w:lang w:val="en-US" w:eastAsia="zh-CN"/>
        </w:rPr>
        <w:t>12</w:t>
      </w:r>
      <w:r>
        <w:rPr>
          <w:rFonts w:hint="eastAsia" w:ascii="宋体" w:hAnsi="宋体" w:eastAsia="宋体" w:cs="宋体"/>
          <w:bCs/>
          <w:color w:val="auto"/>
          <w:sz w:val="21"/>
          <w:szCs w:val="21"/>
          <w:highlight w:val="none"/>
          <w:u w:val="single"/>
        </w:rPr>
        <w:t>时前</w:t>
      </w:r>
      <w:r>
        <w:rPr>
          <w:rFonts w:hint="eastAsia" w:ascii="宋体" w:hAnsi="宋体" w:eastAsia="宋体" w:cs="宋体"/>
          <w:bCs/>
          <w:color w:val="auto"/>
          <w:sz w:val="21"/>
          <w:szCs w:val="21"/>
          <w:highlight w:val="none"/>
        </w:rPr>
        <w:t>投标人将所遇到的问题以电子邮件形式传czsctgczx@163.com滁州市城投工程咨询管理有限公司电子邮箱</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否则</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14.</w:t>
      </w:r>
      <w:r>
        <w:rPr>
          <w:rFonts w:hint="eastAsia" w:ascii="宋体" w:hAnsi="宋体" w:eastAsia="宋体" w:cs="宋体"/>
          <w:bCs/>
          <w:color w:val="auto"/>
          <w:sz w:val="21"/>
          <w:szCs w:val="21"/>
          <w:highlight w:val="none"/>
        </w:rPr>
        <w:t>招标文件的澄清、修改、补充、解释</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14.1</w:t>
      </w:r>
      <w:r>
        <w:rPr>
          <w:rFonts w:hint="eastAsia" w:ascii="宋体" w:hAnsi="宋体" w:eastAsia="宋体" w:cs="宋体"/>
          <w:color w:val="auto"/>
          <w:kern w:val="0"/>
          <w:sz w:val="21"/>
          <w:szCs w:val="21"/>
          <w:highlight w:val="none"/>
          <w:lang w:val="zh-CN"/>
        </w:rPr>
        <w:t>招标文件发出后</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招标人可对招标文件进行必要的澄清、修改和补充</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澄清内容</w:t>
      </w:r>
      <w:r>
        <w:rPr>
          <w:rFonts w:hint="eastAsia" w:ascii="宋体" w:hAnsi="宋体" w:eastAsia="宋体" w:cs="宋体"/>
          <w:color w:val="auto"/>
          <w:kern w:val="0"/>
          <w:sz w:val="21"/>
          <w:szCs w:val="21"/>
          <w:highlight w:val="none"/>
        </w:rPr>
        <w:t>将于</w:t>
      </w:r>
      <w:r>
        <w:rPr>
          <w:rFonts w:hint="eastAsia" w:ascii="宋体" w:hAnsi="宋体" w:eastAsia="宋体" w:cs="宋体"/>
          <w:bCs/>
          <w:color w:val="auto"/>
          <w:kern w:val="0"/>
          <w:sz w:val="21"/>
          <w:szCs w:val="21"/>
          <w:highlight w:val="none"/>
          <w:u w:val="single"/>
        </w:rPr>
        <w:t>202</w:t>
      </w:r>
      <w:r>
        <w:rPr>
          <w:rFonts w:hint="eastAsia" w:ascii="宋体" w:hAnsi="宋体" w:cs="宋体"/>
          <w:bCs/>
          <w:color w:val="auto"/>
          <w:kern w:val="0"/>
          <w:sz w:val="21"/>
          <w:szCs w:val="21"/>
          <w:highlight w:val="none"/>
          <w:u w:val="single"/>
          <w:lang w:val="en-US" w:eastAsia="zh-CN"/>
        </w:rPr>
        <w:t>4</w:t>
      </w:r>
      <w:r>
        <w:rPr>
          <w:rFonts w:hint="eastAsia" w:ascii="宋体" w:hAnsi="宋体" w:eastAsia="宋体" w:cs="宋体"/>
          <w:bCs/>
          <w:color w:val="auto"/>
          <w:kern w:val="0"/>
          <w:sz w:val="21"/>
          <w:szCs w:val="21"/>
          <w:highlight w:val="none"/>
          <w:u w:val="single"/>
        </w:rPr>
        <w:t>年</w:t>
      </w:r>
      <w:r>
        <w:rPr>
          <w:rFonts w:hint="eastAsia" w:ascii="宋体" w:hAnsi="宋体" w:cs="宋体"/>
          <w:bCs/>
          <w:color w:val="auto"/>
          <w:kern w:val="0"/>
          <w:sz w:val="21"/>
          <w:szCs w:val="21"/>
          <w:highlight w:val="none"/>
          <w:u w:val="single"/>
          <w:lang w:val="en-US" w:eastAsia="zh-CN"/>
        </w:rPr>
        <w:t>5</w:t>
      </w:r>
      <w:r>
        <w:rPr>
          <w:rFonts w:hint="eastAsia" w:ascii="宋体" w:hAnsi="宋体" w:eastAsia="宋体" w:cs="宋体"/>
          <w:bCs/>
          <w:color w:val="auto"/>
          <w:kern w:val="0"/>
          <w:sz w:val="21"/>
          <w:szCs w:val="21"/>
          <w:highlight w:val="none"/>
          <w:u w:val="single"/>
        </w:rPr>
        <w:t>月</w:t>
      </w:r>
      <w:r>
        <w:rPr>
          <w:rFonts w:hint="eastAsia" w:ascii="宋体" w:hAnsi="宋体" w:cs="宋体"/>
          <w:bCs/>
          <w:color w:val="auto"/>
          <w:kern w:val="0"/>
          <w:sz w:val="21"/>
          <w:szCs w:val="21"/>
          <w:highlight w:val="none"/>
          <w:u w:val="single"/>
          <w:lang w:val="en-US" w:eastAsia="zh-CN"/>
        </w:rPr>
        <w:t>6</w:t>
      </w:r>
      <w:r>
        <w:rPr>
          <w:rFonts w:hint="eastAsia" w:ascii="宋体" w:hAnsi="宋体" w:eastAsia="宋体" w:cs="宋体"/>
          <w:bCs/>
          <w:color w:val="auto"/>
          <w:kern w:val="0"/>
          <w:sz w:val="21"/>
          <w:szCs w:val="21"/>
          <w:highlight w:val="none"/>
          <w:u w:val="single"/>
        </w:rPr>
        <w:t>日17时</w:t>
      </w:r>
      <w:r>
        <w:rPr>
          <w:rFonts w:hint="eastAsia" w:ascii="宋体" w:hAnsi="宋体" w:eastAsia="宋体" w:cs="宋体"/>
          <w:color w:val="auto"/>
          <w:kern w:val="0"/>
          <w:sz w:val="21"/>
          <w:szCs w:val="21"/>
          <w:highlight w:val="none"/>
        </w:rPr>
        <w:t>后以书面</w:t>
      </w:r>
      <w:r>
        <w:rPr>
          <w:rFonts w:hint="eastAsia" w:ascii="宋体" w:hAnsi="宋体" w:cs="宋体"/>
          <w:color w:val="auto"/>
          <w:kern w:val="0"/>
          <w:sz w:val="21"/>
          <w:szCs w:val="21"/>
          <w:highlight w:val="none"/>
          <w:lang w:val="en-US" w:eastAsia="zh-CN"/>
        </w:rPr>
        <w:t>(滁州市亭城文化旅游投资集团有限公司网站发布)</w:t>
      </w:r>
      <w:r>
        <w:rPr>
          <w:rFonts w:hint="eastAsia" w:ascii="宋体" w:hAnsi="宋体" w:eastAsia="宋体" w:cs="宋体"/>
          <w:color w:val="auto"/>
          <w:kern w:val="0"/>
          <w:sz w:val="21"/>
          <w:szCs w:val="21"/>
          <w:highlight w:val="none"/>
        </w:rPr>
        <w:t>通知各投标人</w:t>
      </w:r>
      <w:r>
        <w:rPr>
          <w:rFonts w:hint="eastAsia" w:ascii="宋体" w:hAnsi="宋体" w:eastAsia="宋体" w:cs="宋体"/>
          <w:color w:val="auto"/>
          <w:kern w:val="0"/>
          <w:sz w:val="21"/>
          <w:szCs w:val="21"/>
          <w:highlight w:val="none"/>
          <w:lang w:val="zh-CN"/>
        </w:rPr>
        <w:t>。招标文件的修改内容作为招标文件的组成部分，具有约束作用。</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  本招标文件由招标人委托的招标代理机构负责解释。</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15.踏勘现场及投标预备会</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  踏勘现场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15.1.1</w:t>
      </w:r>
      <w:r>
        <w:rPr>
          <w:rFonts w:hint="eastAsia" w:ascii="宋体" w:hAnsi="宋体" w:eastAsia="宋体" w:cs="宋体"/>
          <w:color w:val="auto"/>
          <w:kern w:val="0"/>
          <w:sz w:val="21"/>
          <w:szCs w:val="21"/>
          <w:highlight w:val="none"/>
        </w:rPr>
        <w:t>不再集中召开招标答疑会；投标人自行组织勘察现场。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  投标预备会</w:t>
      </w:r>
    </w:p>
    <w:p>
      <w:pPr>
        <w:keepNext w:val="0"/>
        <w:keepLines w:val="0"/>
        <w:pageBreakBefore w:val="0"/>
        <w:widowControl w:val="0"/>
        <w:kinsoku/>
        <w:wordWrap w:val="0"/>
        <w:overflowPunct/>
        <w:topLinePunct w:val="0"/>
        <w:autoSpaceDE/>
        <w:autoSpaceDN/>
        <w:bidi w:val="0"/>
        <w:adjustRightInd/>
        <w:snapToGrid/>
        <w:spacing w:line="510" w:lineRule="exact"/>
        <w:jc w:val="left"/>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15.2.1投标人于</w:t>
      </w:r>
      <w:r>
        <w:rPr>
          <w:rFonts w:hint="eastAsia" w:ascii="宋体" w:hAnsi="宋体" w:eastAsia="宋体" w:cs="宋体"/>
          <w:bCs/>
          <w:color w:val="auto"/>
          <w:sz w:val="21"/>
          <w:szCs w:val="21"/>
          <w:highlight w:val="none"/>
        </w:rPr>
        <w:t>20</w:t>
      </w:r>
      <w:r>
        <w:rPr>
          <w:rFonts w:hint="eastAsia" w:ascii="宋体" w:hAnsi="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年</w:t>
      </w:r>
      <w:r>
        <w:rPr>
          <w:rFonts w:hint="eastAsia" w:ascii="宋体" w:hAnsi="宋体" w:cs="宋体"/>
          <w:bCs/>
          <w:color w:val="auto"/>
          <w:sz w:val="21"/>
          <w:szCs w:val="21"/>
          <w:highlight w:val="none"/>
          <w:lang w:val="en-US" w:eastAsia="zh-CN"/>
        </w:rPr>
        <w:t xml:space="preserve"> 5</w:t>
      </w:r>
      <w:r>
        <w:rPr>
          <w:rFonts w:hint="eastAsia" w:ascii="宋体" w:hAnsi="宋体" w:eastAsia="宋体" w:cs="宋体"/>
          <w:bCs/>
          <w:color w:val="auto"/>
          <w:sz w:val="21"/>
          <w:szCs w:val="21"/>
          <w:highlight w:val="none"/>
        </w:rPr>
        <w:t>月</w:t>
      </w:r>
      <w:r>
        <w:rPr>
          <w:rFonts w:hint="eastAsia" w:ascii="宋体" w:hAnsi="宋体" w:cs="宋体"/>
          <w:bCs/>
          <w:color w:val="auto"/>
          <w:sz w:val="21"/>
          <w:szCs w:val="21"/>
          <w:highlight w:val="none"/>
          <w:lang w:val="en-US" w:eastAsia="zh-CN"/>
        </w:rPr>
        <w:t>6</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"mailto:日17时前投标人将所遇到的问题以电子邮件形式传624857457@qq.com滁州市诚信建设项目管理有限公司电子邮箱，招标人将于2019年5月" </w:instrText>
      </w:r>
      <w:r>
        <w:rPr>
          <w:rFonts w:hint="eastAsia" w:ascii="宋体" w:hAnsi="宋体" w:eastAsia="宋体" w:cs="宋体"/>
          <w:color w:val="auto"/>
          <w:sz w:val="21"/>
          <w:szCs w:val="21"/>
          <w:highlight w:val="none"/>
        </w:rPr>
        <w:fldChar w:fldCharType="separate"/>
      </w:r>
      <w:r>
        <w:rPr>
          <w:rStyle w:val="58"/>
          <w:rFonts w:hint="eastAsia" w:ascii="宋体" w:hAnsi="宋体" w:eastAsia="宋体" w:cs="宋体"/>
          <w:bCs/>
          <w:color w:val="auto"/>
          <w:sz w:val="21"/>
          <w:szCs w:val="21"/>
          <w:highlight w:val="none"/>
        </w:rPr>
        <w:t>日</w:t>
      </w:r>
      <w:r>
        <w:rPr>
          <w:rStyle w:val="58"/>
          <w:rFonts w:hint="eastAsia" w:ascii="宋体" w:hAnsi="宋体" w:cs="宋体"/>
          <w:bCs/>
          <w:color w:val="auto"/>
          <w:sz w:val="21"/>
          <w:szCs w:val="21"/>
          <w:highlight w:val="none"/>
          <w:lang w:val="en-US" w:eastAsia="zh-CN"/>
        </w:rPr>
        <w:t>12</w:t>
      </w:r>
      <w:r>
        <w:rPr>
          <w:rStyle w:val="58"/>
          <w:rFonts w:hint="eastAsia" w:ascii="宋体" w:hAnsi="宋体" w:eastAsia="宋体" w:cs="宋体"/>
          <w:bCs/>
          <w:color w:val="auto"/>
          <w:sz w:val="21"/>
          <w:szCs w:val="21"/>
          <w:highlight w:val="none"/>
        </w:rPr>
        <w:t>时前投标人将所遇到的问题以电子邮件形式传</w:t>
      </w:r>
      <w:r>
        <w:rPr>
          <w:rFonts w:hint="eastAsia" w:ascii="宋体" w:hAnsi="宋体" w:eastAsia="宋体" w:cs="宋体"/>
          <w:bCs/>
          <w:color w:val="auto"/>
          <w:sz w:val="21"/>
          <w:szCs w:val="21"/>
          <w:highlight w:val="none"/>
        </w:rPr>
        <w:t>czsctgczx@163.com滁州市城投工程咨询管理有限公司</w:t>
      </w:r>
      <w:r>
        <w:rPr>
          <w:rStyle w:val="58"/>
          <w:rFonts w:hint="eastAsia" w:ascii="宋体" w:hAnsi="宋体" w:eastAsia="宋体" w:cs="宋体"/>
          <w:bCs/>
          <w:color w:val="auto"/>
          <w:sz w:val="21"/>
          <w:szCs w:val="21"/>
          <w:highlight w:val="none"/>
        </w:rPr>
        <w:t>电子邮箱，招标人将于202</w:t>
      </w:r>
      <w:r>
        <w:rPr>
          <w:rStyle w:val="58"/>
          <w:rFonts w:hint="eastAsia" w:ascii="宋体" w:hAnsi="宋体" w:cs="宋体"/>
          <w:bCs/>
          <w:color w:val="auto"/>
          <w:sz w:val="21"/>
          <w:szCs w:val="21"/>
          <w:highlight w:val="none"/>
          <w:lang w:val="en-US" w:eastAsia="zh-CN"/>
        </w:rPr>
        <w:t>4</w:t>
      </w:r>
      <w:r>
        <w:rPr>
          <w:rStyle w:val="58"/>
          <w:rFonts w:hint="eastAsia" w:ascii="宋体" w:hAnsi="宋体" w:eastAsia="宋体" w:cs="宋体"/>
          <w:bCs/>
          <w:color w:val="auto"/>
          <w:sz w:val="21"/>
          <w:szCs w:val="21"/>
          <w:highlight w:val="none"/>
        </w:rPr>
        <w:t>年</w:t>
      </w:r>
      <w:r>
        <w:rPr>
          <w:rStyle w:val="58"/>
          <w:rFonts w:hint="eastAsia" w:ascii="宋体" w:hAnsi="宋体" w:cs="宋体"/>
          <w:bCs/>
          <w:color w:val="auto"/>
          <w:sz w:val="21"/>
          <w:szCs w:val="21"/>
          <w:highlight w:val="none"/>
          <w:lang w:val="en-US" w:eastAsia="zh-CN"/>
        </w:rPr>
        <w:t>5</w:t>
      </w:r>
      <w:r>
        <w:rPr>
          <w:rStyle w:val="58"/>
          <w:rFonts w:hint="eastAsia" w:ascii="宋体" w:hAnsi="宋体" w:eastAsia="宋体" w:cs="宋体"/>
          <w:bCs/>
          <w:color w:val="auto"/>
          <w:sz w:val="21"/>
          <w:szCs w:val="21"/>
          <w:highlight w:val="none"/>
        </w:rPr>
        <w:t>月</w:t>
      </w:r>
      <w:r>
        <w:rPr>
          <w:rStyle w:val="58"/>
          <w:rFonts w:hint="eastAsia" w:ascii="宋体" w:hAnsi="宋体" w:eastAsia="宋体" w:cs="宋体"/>
          <w:bCs/>
          <w:color w:val="auto"/>
          <w:sz w:val="21"/>
          <w:szCs w:val="21"/>
          <w:highlight w:val="none"/>
        </w:rPr>
        <w:fldChar w:fldCharType="end"/>
      </w:r>
      <w:r>
        <w:rPr>
          <w:rStyle w:val="58"/>
          <w:rFonts w:hint="eastAsia" w:ascii="宋体" w:hAnsi="宋体" w:cs="宋体"/>
          <w:bCs/>
          <w:color w:val="auto"/>
          <w:sz w:val="21"/>
          <w:szCs w:val="21"/>
          <w:highlight w:val="none"/>
          <w:lang w:val="en-US" w:eastAsia="zh-CN"/>
        </w:rPr>
        <w:t>6</w:t>
      </w:r>
      <w:r>
        <w:rPr>
          <w:rFonts w:hint="eastAsia" w:ascii="宋体" w:hAnsi="宋体" w:eastAsia="宋体" w:cs="宋体"/>
          <w:bCs/>
          <w:color w:val="auto"/>
          <w:sz w:val="21"/>
          <w:szCs w:val="21"/>
          <w:highlight w:val="none"/>
        </w:rPr>
        <w:t>日17时后以书面(滁州市亭城文化旅游投资集团有限公司网站发布)通知各投标人。不再集中召开招标答疑会。</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 招标文件的发出</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16.1招标文件、招标文件的澄清、修改、补充及招标答疑等均应报招标人备案后，方可发出。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 最高投标限价的作用和说明</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17.1</w:t>
      </w:r>
      <w:r>
        <w:rPr>
          <w:rFonts w:hint="eastAsia" w:ascii="宋体" w:hAnsi="宋体" w:eastAsia="宋体" w:cs="宋体"/>
          <w:color w:val="auto"/>
          <w:sz w:val="21"/>
          <w:szCs w:val="21"/>
          <w:highlight w:val="none"/>
        </w:rPr>
        <w:t>本项目的</w:t>
      </w:r>
      <w:r>
        <w:rPr>
          <w:rFonts w:hint="eastAsia" w:ascii="宋体" w:hAnsi="宋体" w:cs="宋体"/>
          <w:color w:val="auto"/>
          <w:sz w:val="21"/>
          <w:szCs w:val="21"/>
          <w:highlight w:val="none"/>
          <w:lang w:val="en-US" w:eastAsia="zh-CN"/>
        </w:rPr>
        <w:t>总价</w:t>
      </w:r>
      <w:r>
        <w:rPr>
          <w:rFonts w:hint="eastAsia" w:ascii="宋体" w:hAnsi="宋体" w:eastAsia="宋体" w:cs="宋体"/>
          <w:color w:val="auto"/>
          <w:sz w:val="21"/>
          <w:szCs w:val="21"/>
          <w:highlight w:val="none"/>
          <w:lang w:val="en-US" w:eastAsia="zh-CN"/>
        </w:rPr>
        <w:t>最高限价</w:t>
      </w:r>
      <w:r>
        <w:rPr>
          <w:rFonts w:hint="eastAsia" w:ascii="宋体" w:hAnsi="宋体" w:eastAsia="宋体" w:cs="宋体"/>
          <w:color w:val="auto"/>
          <w:sz w:val="21"/>
          <w:szCs w:val="21"/>
          <w:highlight w:val="none"/>
        </w:rPr>
        <w:t>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186690.00元，其中基坑监测</w:t>
      </w:r>
      <w:r>
        <w:rPr>
          <w:rFonts w:hint="eastAsia" w:ascii="宋体" w:hAnsi="宋体" w:eastAsia="宋体" w:cs="宋体"/>
          <w:color w:val="auto"/>
          <w:sz w:val="21"/>
          <w:szCs w:val="21"/>
          <w:highlight w:val="none"/>
          <w:lang w:val="en-US" w:eastAsia="zh-CN"/>
        </w:rPr>
        <w:t>最高限价</w:t>
      </w:r>
      <w:r>
        <w:rPr>
          <w:rFonts w:hint="eastAsia" w:ascii="宋体" w:hAnsi="宋体" w:eastAsia="宋体" w:cs="宋体"/>
          <w:color w:val="auto"/>
          <w:sz w:val="21"/>
          <w:szCs w:val="21"/>
          <w:highlight w:val="none"/>
        </w:rPr>
        <w:t>为</w:t>
      </w:r>
      <w:r>
        <w:rPr>
          <w:rFonts w:hint="eastAsia" w:ascii="宋体" w:hAnsi="宋体" w:cs="宋体"/>
          <w:color w:val="auto"/>
          <w:sz w:val="21"/>
          <w:szCs w:val="21"/>
          <w:highlight w:val="none"/>
          <w:lang w:val="en-US" w:eastAsia="zh-CN"/>
        </w:rPr>
        <w:t>120150.00元、建筑物沉降观测最高限价为66540.00元，投标单位投标报价均不得高于上述最高限价，否则按无效标处理。</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szCs w:val="28"/>
          <w:highlight w:val="none"/>
        </w:rPr>
      </w:pPr>
      <w:bookmarkStart w:id="3" w:name="_Toc24852"/>
      <w:r>
        <w:rPr>
          <w:rFonts w:hint="eastAsia" w:ascii="宋体" w:hAnsi="宋体" w:eastAsia="宋体" w:cs="宋体"/>
          <w:color w:val="auto"/>
          <w:sz w:val="28"/>
          <w:szCs w:val="28"/>
          <w:highlight w:val="none"/>
        </w:rPr>
        <w:t>三、投标文件的编制</w:t>
      </w:r>
      <w:bookmarkEnd w:id="3"/>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 投标文件的组成</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资格证明材料和商务标分别装订、分别密封</w:t>
      </w:r>
      <w:r>
        <w:rPr>
          <w:rFonts w:hint="eastAsia" w:ascii="宋体" w:hAnsi="宋体" w:eastAsia="宋体" w:cs="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18.1资格证明材料</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（1）法定代表人身份证明文件和本人有效身份证(或法定代表人授权委托书和委托代理人有效身份证)；</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（2）企业法人营业执照；</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企业资质证书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（4）项目负责人相关职称证书；</w:t>
      </w:r>
    </w:p>
    <w:p>
      <w:pPr>
        <w:keepNext w:val="0"/>
        <w:keepLines w:val="0"/>
        <w:pageBreakBefore w:val="0"/>
        <w:widowControl w:val="0"/>
        <w:kinsoku/>
        <w:wordWrap/>
        <w:overflowPunct/>
        <w:topLinePunct w:val="0"/>
        <w:autoSpaceDE/>
        <w:autoSpaceDN/>
        <w:bidi w:val="0"/>
        <w:spacing w:line="510" w:lineRule="exac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（6）投标人认为需要提供的其他材料。</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18.2商务标</w:t>
      </w:r>
    </w:p>
    <w:p>
      <w:pPr>
        <w:keepNext w:val="0"/>
        <w:keepLines w:val="0"/>
        <w:pageBreakBefore w:val="0"/>
        <w:widowControl w:val="0"/>
        <w:numPr>
          <w:ilvl w:val="0"/>
          <w:numId w:val="1"/>
        </w:numPr>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投标函</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spacing w:line="51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以上材料需提供复印件加盖投标单位公章，否则按无效标处理。</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．投标报价</w:t>
      </w:r>
    </w:p>
    <w:p>
      <w:pPr>
        <w:keepNext w:val="0"/>
        <w:keepLines w:val="0"/>
        <w:pageBreakBefore w:val="0"/>
        <w:widowControl w:val="0"/>
        <w:kinsoku/>
        <w:wordWrap/>
        <w:overflowPunct/>
        <w:topLinePunct w:val="0"/>
        <w:autoSpaceDE/>
        <w:autoSpaceDN/>
        <w:bidi w:val="0"/>
        <w:spacing w:line="510" w:lineRule="exact"/>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19</w:t>
      </w:r>
      <w:r>
        <w:rPr>
          <w:rFonts w:hint="eastAsia" w:ascii="宋体" w:hAnsi="宋体" w:eastAsia="宋体" w:cs="宋体"/>
          <w:b/>
          <w:bCs/>
          <w:color w:val="auto"/>
          <w:sz w:val="21"/>
          <w:szCs w:val="21"/>
          <w:highlight w:val="none"/>
        </w:rPr>
        <w:t>.1 投标人的投标报价应为提供招标文件及合同条款中明示或暗示的服务内容而所需的（包括但不限于）所有设备、材料、劳务、管理、差旅、评审、利润、税金、各类保险、政策性及指导性文件规定及合同包含的所有风险、责任、义务等一切应有费用</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招标人不再另行支付任何费用。</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.2 投标报价不按规定报价的，其投标文件按无效标处理。</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.投标有效期</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.1投标有效期为</w:t>
      </w:r>
      <w:r>
        <w:rPr>
          <w:rFonts w:hint="eastAsia" w:ascii="宋体" w:hAnsi="宋体" w:eastAsia="宋体" w:cs="宋体"/>
          <w:color w:val="auto"/>
          <w:sz w:val="21"/>
          <w:szCs w:val="21"/>
          <w:highlight w:val="none"/>
          <w:u w:val="single"/>
        </w:rPr>
        <w:t>60</w:t>
      </w:r>
      <w:r>
        <w:rPr>
          <w:rFonts w:hint="eastAsia" w:ascii="宋体" w:hAnsi="宋体" w:eastAsia="宋体" w:cs="宋体"/>
          <w:color w:val="auto"/>
          <w:sz w:val="21"/>
          <w:szCs w:val="21"/>
          <w:highlight w:val="none"/>
        </w:rPr>
        <w:t>日历天（从投标截止之日算起）。在此期限内，凡符合本招标文件要求的投标文件均保持有效。</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4"/>
          <w:highlight w:val="none"/>
          <w:lang w:val="en-US" w:eastAsia="zh-CN"/>
        </w:rPr>
      </w:pPr>
      <w:bookmarkStart w:id="4" w:name="_Toc27519"/>
      <w:r>
        <w:rPr>
          <w:rFonts w:hint="eastAsia" w:ascii="宋体" w:hAnsi="宋体" w:eastAsia="宋体" w:cs="宋体"/>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四、投标文件的密封和递交</w:t>
      </w:r>
      <w:bookmarkEnd w:id="4"/>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投标文件的份数和签署</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  投标文件：书面文件一式</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三</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份，正本</w:t>
      </w:r>
      <w:r>
        <w:rPr>
          <w:rFonts w:hint="eastAsia" w:ascii="宋体" w:hAnsi="宋体" w:eastAsia="宋体" w:cs="宋体"/>
          <w:color w:val="auto"/>
          <w:sz w:val="21"/>
          <w:szCs w:val="21"/>
          <w:highlight w:val="none"/>
          <w:u w:val="single"/>
        </w:rPr>
        <w:t xml:space="preserve"> 一 </w:t>
      </w:r>
      <w:r>
        <w:rPr>
          <w:rFonts w:hint="eastAsia" w:ascii="宋体" w:hAnsi="宋体" w:eastAsia="宋体" w:cs="宋体"/>
          <w:color w:val="auto"/>
          <w:sz w:val="21"/>
          <w:szCs w:val="21"/>
          <w:highlight w:val="none"/>
        </w:rPr>
        <w:t>份，副本</w:t>
      </w:r>
      <w:r>
        <w:rPr>
          <w:rFonts w:hint="eastAsia" w:ascii="宋体" w:hAnsi="宋体" w:cs="宋体"/>
          <w:color w:val="auto"/>
          <w:sz w:val="21"/>
          <w:szCs w:val="21"/>
          <w:highlight w:val="none"/>
          <w:u w:val="single"/>
          <w:lang w:val="en-US" w:eastAsia="zh-CN"/>
        </w:rPr>
        <w:t>二</w:t>
      </w:r>
      <w:r>
        <w:rPr>
          <w:rFonts w:hint="eastAsia" w:ascii="宋体" w:hAnsi="宋体" w:eastAsia="宋体" w:cs="宋体"/>
          <w:color w:val="auto"/>
          <w:sz w:val="21"/>
          <w:szCs w:val="21"/>
          <w:highlight w:val="none"/>
        </w:rPr>
        <w:t>份。</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.2  投标文件的正本和副本均需打印或使用不褪色的蓝、黑墨水笔书写，字迹应清晰易于辩认，并应在投标文件封面的右上角清楚地注明“正本”或“副本”。正本和副本如有不一致之处，以正本为准。</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   投标文件的装订、密封和标记</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  投标文件的装订要求</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.1.1投标文件应组成按顺序装订在一起</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.2  投标文件的密封</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.2.1投标人应当将投标文件正本、副本密封在文件袋内。</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22.2.2投标人应当将资格证明材料和商务标分别密封于相对应的密封袋中。</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.3  投标文件密封袋的标记</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.3.1在投标文件密封袋上应写明投标人名称和地址；注明下列识别标志：招标</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名称。</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投标文件的提交</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.1  投标文件提交的收件人、截止时间及地点</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    收件人：</w:t>
      </w:r>
      <w:r>
        <w:rPr>
          <w:rFonts w:hint="eastAsia" w:ascii="宋体" w:hAnsi="宋体" w:eastAsia="宋体" w:cs="宋体"/>
          <w:color w:val="auto"/>
          <w:kern w:val="0"/>
          <w:sz w:val="21"/>
          <w:szCs w:val="21"/>
          <w:highlight w:val="none"/>
          <w:u w:val="single"/>
        </w:rPr>
        <w:t xml:space="preserve"> 滁州市城投工程咨询管理有限公司</w:t>
      </w:r>
    </w:p>
    <w:p>
      <w:pPr>
        <w:keepNext w:val="0"/>
        <w:keepLines w:val="0"/>
        <w:pageBreakBefore w:val="0"/>
        <w:widowControl w:val="0"/>
        <w:kinsoku/>
        <w:wordWrap/>
        <w:overflowPunct/>
        <w:topLinePunct w:val="0"/>
        <w:autoSpaceDE/>
        <w:autoSpaceDN/>
        <w:bidi w:val="0"/>
        <w:spacing w:line="510" w:lineRule="exact"/>
        <w:ind w:firstLine="630" w:firstLineChars="300"/>
        <w:textAlignment w:val="auto"/>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时  间：</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rPr>
        <w:t>202</w:t>
      </w:r>
      <w:r>
        <w:rPr>
          <w:rFonts w:hint="eastAsia" w:ascii="宋体" w:hAnsi="宋体" w:cs="宋体"/>
          <w:color w:val="auto"/>
          <w:kern w:val="0"/>
          <w:sz w:val="21"/>
          <w:szCs w:val="21"/>
          <w:highlight w:val="none"/>
          <w:u w:val="single"/>
          <w:lang w:val="en-US" w:eastAsia="zh-CN"/>
        </w:rPr>
        <w:t>4</w:t>
      </w:r>
      <w:r>
        <w:rPr>
          <w:rFonts w:hint="eastAsia" w:ascii="宋体" w:hAnsi="宋体" w:eastAsia="宋体" w:cs="宋体"/>
          <w:color w:val="auto"/>
          <w:kern w:val="0"/>
          <w:sz w:val="21"/>
          <w:szCs w:val="21"/>
          <w:highlight w:val="none"/>
          <w:u w:val="single"/>
        </w:rPr>
        <w:t>年</w:t>
      </w:r>
      <w:r>
        <w:rPr>
          <w:rFonts w:hint="eastAsia" w:ascii="宋体" w:hAnsi="宋体" w:cs="宋体"/>
          <w:color w:val="auto"/>
          <w:kern w:val="0"/>
          <w:sz w:val="21"/>
          <w:szCs w:val="21"/>
          <w:highlight w:val="none"/>
          <w:u w:val="single"/>
          <w:lang w:val="en-US" w:eastAsia="zh-CN"/>
        </w:rPr>
        <w:t>5</w:t>
      </w:r>
      <w:r>
        <w:rPr>
          <w:rFonts w:hint="eastAsia" w:ascii="宋体" w:hAnsi="宋体" w:eastAsia="宋体" w:cs="宋体"/>
          <w:color w:val="auto"/>
          <w:kern w:val="0"/>
          <w:sz w:val="21"/>
          <w:szCs w:val="21"/>
          <w:highlight w:val="none"/>
          <w:u w:val="single"/>
        </w:rPr>
        <w:t>月</w:t>
      </w:r>
      <w:r>
        <w:rPr>
          <w:rFonts w:hint="eastAsia" w:ascii="宋体" w:hAnsi="宋体" w:cs="宋体"/>
          <w:color w:val="auto"/>
          <w:kern w:val="0"/>
          <w:sz w:val="21"/>
          <w:szCs w:val="21"/>
          <w:highlight w:val="none"/>
          <w:u w:val="single"/>
          <w:lang w:val="en-US" w:eastAsia="zh-CN"/>
        </w:rPr>
        <w:t>8</w:t>
      </w:r>
      <w:r>
        <w:rPr>
          <w:rFonts w:hint="eastAsia" w:ascii="宋体" w:hAnsi="宋体" w:eastAsia="宋体" w:cs="宋体"/>
          <w:color w:val="auto"/>
          <w:kern w:val="0"/>
          <w:sz w:val="21"/>
          <w:szCs w:val="21"/>
          <w:highlight w:val="none"/>
          <w:u w:val="single"/>
        </w:rPr>
        <w:t>日</w:t>
      </w:r>
      <w:r>
        <w:rPr>
          <w:rFonts w:hint="eastAsia" w:ascii="宋体" w:hAnsi="宋体" w:cs="宋体"/>
          <w:color w:val="auto"/>
          <w:kern w:val="0"/>
          <w:sz w:val="21"/>
          <w:szCs w:val="21"/>
          <w:highlight w:val="none"/>
          <w:u w:val="single"/>
          <w:lang w:val="en-US" w:eastAsia="zh-CN"/>
        </w:rPr>
        <w:t>15</w:t>
      </w:r>
      <w:r>
        <w:rPr>
          <w:rFonts w:hint="eastAsia" w:ascii="宋体" w:hAnsi="宋体" w:eastAsia="宋体" w:cs="宋体"/>
          <w:color w:val="auto"/>
          <w:kern w:val="0"/>
          <w:sz w:val="21"/>
          <w:szCs w:val="21"/>
          <w:highlight w:val="none"/>
          <w:u w:val="single"/>
        </w:rPr>
        <w:t>时00分</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rPr>
        <w:t xml:space="preserve">  </w:t>
      </w:r>
    </w:p>
    <w:p>
      <w:pPr>
        <w:keepNext w:val="0"/>
        <w:keepLines w:val="0"/>
        <w:pageBreakBefore w:val="0"/>
        <w:widowControl w:val="0"/>
        <w:kinsoku/>
        <w:wordWrap/>
        <w:overflowPunct/>
        <w:topLinePunct w:val="0"/>
        <w:autoSpaceDE/>
        <w:autoSpaceDN/>
        <w:bidi w:val="0"/>
        <w:spacing w:line="510" w:lineRule="exact"/>
        <w:ind w:left="1033" w:leftChars="342" w:hanging="315" w:hangingChars="150"/>
        <w:textAlignment w:val="auto"/>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地  点：</w:t>
      </w:r>
      <w:r>
        <w:rPr>
          <w:rFonts w:hint="eastAsia" w:ascii="宋体" w:hAnsi="宋体" w:eastAsia="宋体" w:cs="宋体"/>
          <w:color w:val="auto"/>
          <w:kern w:val="0"/>
          <w:sz w:val="21"/>
          <w:szCs w:val="21"/>
          <w:highlight w:val="none"/>
          <w:u w:val="single"/>
        </w:rPr>
        <w:t>安徽省滁州市凤凰东路476号</w:t>
      </w:r>
      <w:r>
        <w:rPr>
          <w:rFonts w:hint="eastAsia" w:ascii="宋体" w:hAnsi="宋体" w:cs="宋体"/>
          <w:color w:val="auto"/>
          <w:kern w:val="0"/>
          <w:sz w:val="21"/>
          <w:szCs w:val="21"/>
          <w:highlight w:val="none"/>
          <w:u w:val="single"/>
          <w:lang w:val="en-US" w:eastAsia="zh-CN"/>
        </w:rPr>
        <w:t>城管</w:t>
      </w:r>
      <w:r>
        <w:rPr>
          <w:rFonts w:hint="eastAsia" w:ascii="宋体" w:hAnsi="宋体" w:eastAsia="宋体" w:cs="宋体"/>
          <w:color w:val="auto"/>
          <w:kern w:val="0"/>
          <w:sz w:val="21"/>
          <w:szCs w:val="21"/>
          <w:highlight w:val="none"/>
          <w:u w:val="single"/>
        </w:rPr>
        <w:t xml:space="preserve">大厦6楼会议室  </w:t>
      </w:r>
      <w:r>
        <w:rPr>
          <w:rFonts w:hint="eastAsia" w:ascii="宋体" w:hAnsi="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rPr>
        <w:t xml:space="preserve">   </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.2  迟交的投标文件</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.2.1招标人在本须知第2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.1款规定的投标截止时间以后收到的投标文件，将被拒绝并退回给投标人。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投标文件的补充、修改与撤回</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.1  投标人在提交投标文件以后，在规定的投标截止时间之前，可以书面形式补充、修改或撤回已提交的投标文件，并以书面形式通知招标人。补充、修改的内容为投标文件的组成部分。</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.2  投标人对投标文件的补充、修改，应按本须知第2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条、第2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条和第</w:t>
      </w: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条有关规定密封、标记和提交，并在投标文件密封袋上清楚标明“补充”、“修改”字样。</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.3  在投标截止时间之后，投标人不得补充、修改投标文件。</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szCs w:val="28"/>
          <w:highlight w:val="none"/>
        </w:rPr>
      </w:pPr>
      <w:bookmarkStart w:id="5" w:name="_Toc18173"/>
      <w:r>
        <w:rPr>
          <w:rFonts w:hint="eastAsia" w:ascii="宋体" w:hAnsi="宋体" w:eastAsia="宋体" w:cs="宋体"/>
          <w:color w:val="auto"/>
          <w:sz w:val="28"/>
          <w:szCs w:val="28"/>
          <w:highlight w:val="none"/>
        </w:rPr>
        <w:t>五、开标、评标和定标</w:t>
      </w:r>
      <w:bookmarkEnd w:id="5"/>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开标</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  开标的时间和地点</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.1.1招标人按本须知第2</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.1条提交投标文件的截止时间和地点公开开标，并邀请所有投标人参加。</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.2  参与开标的相关部门：招标人等。</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  对参加开标的投标人的要求</w:t>
      </w:r>
    </w:p>
    <w:p>
      <w:pPr>
        <w:keepNext w:val="0"/>
        <w:keepLines w:val="0"/>
        <w:pageBreakBefore w:val="0"/>
        <w:widowControl w:val="0"/>
        <w:kinsoku/>
        <w:wordWrap/>
        <w:overflowPunct/>
        <w:topLinePunct w:val="0"/>
        <w:autoSpaceDE/>
        <w:autoSpaceDN/>
        <w:bidi w:val="0"/>
        <w:spacing w:line="510" w:lineRule="exact"/>
        <w:ind w:right="-334" w:rightChars="-159"/>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.3.1 投标人的法定代表人（或委托代理人）必须准时参加开标会议</w:t>
      </w:r>
      <w:r>
        <w:rPr>
          <w:rFonts w:hint="eastAsia" w:ascii="宋体" w:hAnsi="宋体" w:eastAsia="宋体" w:cs="宋体"/>
          <w:b/>
          <w:bCs/>
          <w:color w:val="auto"/>
          <w:sz w:val="21"/>
          <w:szCs w:val="21"/>
          <w:highlight w:val="none"/>
        </w:rPr>
        <w:t>。</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.4  开标程序</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①开标会议由招标代理机构：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滁州市城投工程咨询管理有限公司</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（招标代理公司）主持；</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②公布在投标截止时间前递交投标文件的投标人名称，并确认投标单位相关人员是否到场；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③由投标人或其推选的代表检查投标文件的密封情况；</w:t>
      </w:r>
    </w:p>
    <w:p>
      <w:pPr>
        <w:keepNext w:val="0"/>
        <w:keepLines w:val="0"/>
        <w:pageBreakBefore w:val="0"/>
        <w:widowControl w:val="0"/>
        <w:kinsoku/>
        <w:wordWrap/>
        <w:overflowPunct/>
        <w:topLinePunct w:val="0"/>
        <w:autoSpaceDE/>
        <w:autoSpaceDN/>
        <w:bidi w:val="0"/>
        <w:spacing w:line="510" w:lineRule="exact"/>
        <w:ind w:firstLine="105" w:firstLine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④经确认无误后，有关工作人员当众拆封，宣读投标人名称和投标文件的主要内容；</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⑤经投标文件评审后，</w:t>
      </w:r>
      <w:r>
        <w:rPr>
          <w:rFonts w:hint="eastAsia" w:ascii="宋体" w:hAnsi="宋体" w:eastAsia="宋体" w:cs="宋体"/>
          <w:color w:val="auto"/>
          <w:sz w:val="21"/>
          <w:szCs w:val="21"/>
          <w:highlight w:val="none"/>
          <w:lang w:val="en-US" w:eastAsia="zh-CN"/>
        </w:rPr>
        <w:t>确定</w:t>
      </w:r>
      <w:r>
        <w:rPr>
          <w:rFonts w:hint="eastAsia" w:ascii="宋体" w:hAnsi="宋体" w:eastAsia="宋体" w:cs="宋体"/>
          <w:color w:val="auto"/>
          <w:sz w:val="21"/>
          <w:szCs w:val="21"/>
          <w:highlight w:val="none"/>
        </w:rPr>
        <w:t>中标候选人</w:t>
      </w:r>
      <w:r>
        <w:rPr>
          <w:rFonts w:hint="eastAsia" w:ascii="宋体" w:hAnsi="宋体" w:eastAsia="宋体" w:cs="宋体"/>
          <w:color w:val="auto"/>
          <w:sz w:val="21"/>
          <w:szCs w:val="21"/>
          <w:highlight w:val="none"/>
          <w:lang w:val="en-US" w:eastAsia="zh-CN"/>
        </w:rPr>
        <w:t>排序</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⑥</w:t>
      </w:r>
      <w:r>
        <w:rPr>
          <w:rFonts w:hint="eastAsia" w:ascii="宋体" w:hAnsi="宋体" w:eastAsia="宋体" w:cs="宋体"/>
          <w:color w:val="auto"/>
          <w:sz w:val="21"/>
          <w:szCs w:val="21"/>
          <w:highlight w:val="none"/>
          <w:lang w:val="en-US" w:eastAsia="zh-CN"/>
        </w:rPr>
        <w:t>招标人</w:t>
      </w:r>
      <w:r>
        <w:rPr>
          <w:rFonts w:hint="eastAsia" w:ascii="宋体" w:hAnsi="宋体" w:eastAsia="宋体" w:cs="宋体"/>
          <w:color w:val="auto"/>
          <w:sz w:val="21"/>
          <w:szCs w:val="21"/>
          <w:highlight w:val="none"/>
        </w:rPr>
        <w:t>对开标过程进行记录，并存档备查。</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   评标</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.1  评标办法</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.1.1评标办法按招标文件的规定执行。</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27</w:t>
      </w:r>
      <w:r>
        <w:rPr>
          <w:rFonts w:hint="eastAsia" w:ascii="宋体" w:hAnsi="宋体" w:eastAsia="宋体" w:cs="宋体"/>
          <w:color w:val="auto"/>
          <w:sz w:val="21"/>
          <w:szCs w:val="21"/>
          <w:highlight w:val="none"/>
        </w:rPr>
        <w:t>.  否决投标情况</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27</w:t>
      </w:r>
      <w:r>
        <w:rPr>
          <w:rFonts w:hint="eastAsia" w:ascii="宋体" w:hAnsi="宋体" w:eastAsia="宋体" w:cs="宋体"/>
          <w:color w:val="auto"/>
          <w:sz w:val="21"/>
          <w:szCs w:val="21"/>
          <w:highlight w:val="none"/>
        </w:rPr>
        <w:t>.1  投标文件出现下列情形之一的，应当否决其投标：</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rPr>
        <w:t>逾期送达的或未送达指定地点的；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②</w:t>
      </w:r>
      <w:r>
        <w:rPr>
          <w:rFonts w:hint="eastAsia" w:ascii="宋体" w:hAnsi="宋体" w:eastAsia="宋体" w:cs="宋体"/>
          <w:color w:val="auto"/>
          <w:sz w:val="21"/>
          <w:szCs w:val="21"/>
          <w:highlight w:val="none"/>
        </w:rPr>
        <w:t>未按招标文件要求密封的；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③</w:t>
      </w:r>
      <w:r>
        <w:rPr>
          <w:rFonts w:hint="eastAsia" w:ascii="宋体" w:hAnsi="宋体" w:eastAsia="宋体" w:cs="宋体"/>
          <w:color w:val="auto"/>
          <w:sz w:val="21"/>
          <w:szCs w:val="21"/>
          <w:highlight w:val="none"/>
        </w:rPr>
        <w:t>无单位盖章、无法定代表人或法定代表人授权的代理人签字或盖章的；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④</w:t>
      </w:r>
      <w:r>
        <w:rPr>
          <w:rFonts w:hint="eastAsia" w:ascii="宋体" w:hAnsi="宋体" w:eastAsia="宋体" w:cs="宋体"/>
          <w:color w:val="auto"/>
          <w:sz w:val="21"/>
          <w:szCs w:val="21"/>
          <w:highlight w:val="none"/>
        </w:rPr>
        <w:t>未按规定的格式填写，内容不全或关键字迹模糊、无法辨认的；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⑤</w:t>
      </w:r>
      <w:r>
        <w:rPr>
          <w:rFonts w:hint="eastAsia" w:ascii="宋体" w:hAnsi="宋体" w:eastAsia="宋体" w:cs="宋体"/>
          <w:color w:val="auto"/>
          <w:sz w:val="21"/>
          <w:szCs w:val="21"/>
          <w:highlight w:val="none"/>
        </w:rPr>
        <w:t>工期或质量不符合招标文件要求的；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⑥</w:t>
      </w:r>
      <w:r>
        <w:rPr>
          <w:rFonts w:hint="eastAsia" w:ascii="宋体" w:hAnsi="宋体" w:eastAsia="宋体" w:cs="宋体"/>
          <w:color w:val="auto"/>
          <w:szCs w:val="21"/>
          <w:highlight w:val="none"/>
        </w:rPr>
        <w:t>投标总报价高于（不含等于）招标人发布的投标总报价最高限价的</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⑦</w:t>
      </w:r>
      <w:r>
        <w:rPr>
          <w:rFonts w:hint="eastAsia" w:ascii="宋体" w:hAnsi="宋体" w:eastAsia="宋体" w:cs="宋体"/>
          <w:color w:val="auto"/>
          <w:sz w:val="21"/>
          <w:szCs w:val="21"/>
          <w:highlight w:val="none"/>
        </w:rPr>
        <w:t>法律、法规、规章和招标文件规定的其他否决投标情形。</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28</w:t>
      </w:r>
      <w:r>
        <w:rPr>
          <w:rFonts w:hint="eastAsia" w:ascii="宋体" w:hAnsi="宋体" w:eastAsia="宋体" w:cs="宋体"/>
          <w:color w:val="auto"/>
          <w:sz w:val="21"/>
          <w:szCs w:val="21"/>
          <w:highlight w:val="none"/>
        </w:rPr>
        <w:t>.   定标</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28</w:t>
      </w:r>
      <w:r>
        <w:rPr>
          <w:rFonts w:hint="eastAsia" w:ascii="宋体" w:hAnsi="宋体" w:eastAsia="宋体" w:cs="宋体"/>
          <w:color w:val="auto"/>
          <w:sz w:val="21"/>
          <w:szCs w:val="21"/>
          <w:highlight w:val="none"/>
        </w:rPr>
        <w:t>.1  中标候选人和中标人的确定</w:t>
      </w:r>
    </w:p>
    <w:p>
      <w:pPr>
        <w:keepNext w:val="0"/>
        <w:keepLines w:val="0"/>
        <w:pageBreakBefore w:val="0"/>
        <w:widowControl w:val="0"/>
        <w:kinsoku/>
        <w:wordWrap/>
        <w:overflowPunct/>
        <w:topLinePunct w:val="0"/>
        <w:autoSpaceDE/>
        <w:autoSpaceDN/>
        <w:bidi w:val="0"/>
        <w:spacing w:line="510" w:lineRule="exact"/>
        <w:jc w:val="left"/>
        <w:textAlignment w:val="auto"/>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28</w:t>
      </w:r>
      <w:r>
        <w:rPr>
          <w:rFonts w:hint="eastAsia" w:ascii="宋体" w:hAnsi="宋体" w:eastAsia="宋体" w:cs="宋体"/>
          <w:color w:val="auto"/>
          <w:sz w:val="21"/>
          <w:szCs w:val="21"/>
          <w:highlight w:val="none"/>
        </w:rPr>
        <w:t>.1.1</w:t>
      </w:r>
      <w:bookmarkStart w:id="6" w:name="_Toc21491"/>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报价低于最高限价，最终按投标总报价从低到高的先后顺序推荐3名中标候选人，投标总报价最低的为中标候选人，低于成本价的除外，有效投标人的投标总报价低于【有效投标人投标报价的平均价*（1-10%）】的视为低于成本价。投标报价相等，由招标人随机抽取确定</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六、合同的授予</w:t>
      </w:r>
      <w:bookmarkEnd w:id="6"/>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29</w:t>
      </w:r>
      <w:r>
        <w:rPr>
          <w:rFonts w:hint="eastAsia" w:ascii="宋体" w:hAnsi="宋体" w:eastAsia="宋体" w:cs="宋体"/>
          <w:color w:val="auto"/>
          <w:sz w:val="21"/>
          <w:szCs w:val="21"/>
          <w:highlight w:val="none"/>
        </w:rPr>
        <w:t>.   合同授予标准</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29</w:t>
      </w:r>
      <w:r>
        <w:rPr>
          <w:rFonts w:hint="eastAsia" w:ascii="宋体" w:hAnsi="宋体" w:eastAsia="宋体" w:cs="宋体"/>
          <w:color w:val="auto"/>
          <w:sz w:val="21"/>
          <w:szCs w:val="21"/>
          <w:highlight w:val="none"/>
        </w:rPr>
        <w:t>.1  本招标工程的合同授予按本须知第3</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条规定所确定的中标人。</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   合同协议书的签订</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  中标通知书发放后3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日内，按照招标文件和中标人的投标文件订立书面合同。招标人和中标人不得再行订立背离合同实质性内容的其他协议。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 xml:space="preserve">0.2 </w:t>
      </w:r>
      <w:r>
        <w:rPr>
          <w:rFonts w:hint="eastAsia" w:ascii="宋体" w:hAnsi="宋体" w:eastAsia="宋体" w:cs="宋体"/>
          <w:color w:val="auto"/>
          <w:sz w:val="21"/>
          <w:szCs w:val="21"/>
          <w:highlight w:val="none"/>
        </w:rPr>
        <w:t xml:space="preserve"> 中标人如不按本投标须知第3</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条的规定与招标人订立合同，则招标人将取消其中标资格，给招标人造成的损失超过投标担保数额的，还应当对超过部分予以赔偿，同时依法承担相应法律责任。</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  中标人应当按照合同约定履行义务，完成中标项目的实施，不得将中标项目转让（转包）给他人。</w:t>
      </w:r>
      <w:bookmarkStart w:id="7" w:name="_Toc3222"/>
      <w:bookmarkStart w:id="8" w:name="_Toc31589_WPSOffice_Level1"/>
      <w:bookmarkStart w:id="9" w:name="_Toc12737"/>
    </w:p>
    <w:p>
      <w:pPr>
        <w:spacing w:line="400" w:lineRule="exact"/>
        <w:jc w:val="center"/>
        <w:rPr>
          <w:rFonts w:hint="eastAsia" w:ascii="宋体" w:hAnsi="宋体" w:cs="宋体"/>
          <w:b/>
          <w:color w:val="auto"/>
          <w:szCs w:val="21"/>
          <w:highlight w:val="none"/>
        </w:rPr>
      </w:pPr>
    </w:p>
    <w:p>
      <w:pPr>
        <w:spacing w:line="400" w:lineRule="exact"/>
        <w:jc w:val="center"/>
        <w:rPr>
          <w:rFonts w:hint="eastAsia" w:ascii="宋体" w:hAnsi="宋体" w:cs="宋体"/>
          <w:b/>
          <w:color w:val="auto"/>
          <w:szCs w:val="21"/>
          <w:highlight w:val="none"/>
        </w:rPr>
      </w:pPr>
    </w:p>
    <w:p>
      <w:pPr>
        <w:pStyle w:val="13"/>
        <w:rPr>
          <w:rFonts w:hint="eastAsia"/>
          <w:color w:val="auto"/>
          <w:highlight w:val="none"/>
          <w:lang w:val="en-US" w:eastAsia="zh-CN"/>
        </w:rPr>
      </w:pPr>
    </w:p>
    <w:p>
      <w:pPr>
        <w:rPr>
          <w:rFonts w:hint="eastAsia"/>
          <w:color w:val="auto"/>
          <w:highlight w:val="none"/>
          <w:lang w:val="en-US" w:eastAsia="zh-CN"/>
        </w:rPr>
      </w:pPr>
    </w:p>
    <w:p>
      <w:pPr>
        <w:pStyle w:val="13"/>
        <w:rPr>
          <w:rFonts w:hint="eastAsia"/>
          <w:color w:val="auto"/>
          <w:highlight w:val="none"/>
          <w:lang w:val="en-US" w:eastAsia="zh-CN"/>
        </w:rPr>
      </w:pPr>
    </w:p>
    <w:p>
      <w:pPr>
        <w:rPr>
          <w:rFonts w:hint="eastAsia"/>
          <w:color w:val="auto"/>
          <w:highlight w:val="none"/>
          <w:lang w:val="en-US" w:eastAsia="zh-CN"/>
        </w:rPr>
      </w:pPr>
    </w:p>
    <w:p>
      <w:pPr>
        <w:pStyle w:val="13"/>
        <w:rPr>
          <w:rFonts w:hint="eastAsia"/>
          <w:color w:val="auto"/>
          <w:highlight w:val="none"/>
          <w:lang w:val="en-US" w:eastAsia="zh-CN"/>
        </w:rPr>
      </w:pPr>
    </w:p>
    <w:p>
      <w:pPr>
        <w:rPr>
          <w:rFonts w:hint="eastAsia"/>
          <w:color w:val="auto"/>
          <w:highlight w:val="none"/>
          <w:lang w:val="en-US" w:eastAsia="zh-CN"/>
        </w:rPr>
      </w:pPr>
    </w:p>
    <w:p>
      <w:pPr>
        <w:pStyle w:val="12"/>
        <w:rPr>
          <w:rFonts w:hint="eastAsia"/>
          <w:color w:val="auto"/>
          <w:highlight w:val="none"/>
          <w:lang w:val="en-US" w:eastAsia="zh-CN"/>
        </w:rPr>
      </w:pPr>
    </w:p>
    <w:p>
      <w:pPr>
        <w:pStyle w:val="13"/>
        <w:rPr>
          <w:rFonts w:hint="eastAsia"/>
          <w:color w:val="auto"/>
          <w:highlight w:val="none"/>
          <w:lang w:val="en-US" w:eastAsia="zh-CN"/>
        </w:rPr>
      </w:pPr>
    </w:p>
    <w:p>
      <w:pPr>
        <w:pStyle w:val="46"/>
        <w:rPr>
          <w:rFonts w:hint="eastAsia"/>
          <w:color w:val="auto"/>
          <w:highlight w:val="none"/>
          <w:lang w:val="en-US" w:eastAsia="zh-CN"/>
        </w:rPr>
      </w:pPr>
    </w:p>
    <w:p>
      <w:pPr>
        <w:pStyle w:val="46"/>
        <w:rPr>
          <w:rFonts w:hint="eastAsia"/>
          <w:color w:val="auto"/>
          <w:highlight w:val="none"/>
          <w:lang w:val="en-US" w:eastAsia="zh-CN"/>
        </w:rPr>
      </w:pPr>
    </w:p>
    <w:p>
      <w:pPr>
        <w:pStyle w:val="46"/>
        <w:rPr>
          <w:rFonts w:hint="eastAsia"/>
          <w:color w:val="auto"/>
          <w:highlight w:val="none"/>
          <w:lang w:val="en-US" w:eastAsia="zh-CN"/>
        </w:rPr>
      </w:pPr>
    </w:p>
    <w:p>
      <w:pPr>
        <w:pStyle w:val="46"/>
        <w:rPr>
          <w:rFonts w:hint="eastAsia"/>
          <w:color w:val="auto"/>
          <w:highlight w:val="none"/>
          <w:lang w:val="en-US" w:eastAsia="zh-CN"/>
        </w:rPr>
      </w:pPr>
    </w:p>
    <w:p>
      <w:pPr>
        <w:pStyle w:val="46"/>
        <w:rPr>
          <w:rFonts w:hint="eastAsia"/>
          <w:color w:val="auto"/>
          <w:highlight w:val="none"/>
          <w:lang w:val="en-US" w:eastAsia="zh-CN"/>
        </w:rPr>
      </w:pPr>
    </w:p>
    <w:p>
      <w:pPr>
        <w:pStyle w:val="46"/>
        <w:rPr>
          <w:rFonts w:hint="eastAsia"/>
          <w:color w:val="auto"/>
          <w:highlight w:val="none"/>
          <w:lang w:val="en-US" w:eastAsia="zh-CN"/>
        </w:rPr>
      </w:pPr>
    </w:p>
    <w:p>
      <w:pPr>
        <w:pStyle w:val="46"/>
        <w:rPr>
          <w:rFonts w:hint="eastAsia"/>
          <w:color w:val="auto"/>
          <w:highlight w:val="none"/>
          <w:lang w:val="en-US" w:eastAsia="zh-CN"/>
        </w:rPr>
      </w:pPr>
    </w:p>
    <w:p>
      <w:pPr>
        <w:pStyle w:val="2"/>
        <w:spacing w:before="0" w:after="0"/>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2"/>
        <w:spacing w:before="0" w:after="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第二章  评标办法</w:t>
      </w:r>
    </w:p>
    <w:p>
      <w:pPr>
        <w:spacing w:line="480" w:lineRule="exact"/>
        <w:rPr>
          <w:rFonts w:hint="eastAsia" w:ascii="宋体" w:hAnsi="宋体" w:cs="宋体"/>
          <w:color w:val="auto"/>
          <w:szCs w:val="21"/>
          <w:highlight w:val="none"/>
        </w:rPr>
      </w:pPr>
      <w:r>
        <w:rPr>
          <w:rFonts w:hint="eastAsia" w:ascii="宋体" w:hAnsi="宋体" w:cs="宋体"/>
          <w:color w:val="auto"/>
          <w:szCs w:val="21"/>
          <w:highlight w:val="none"/>
        </w:rPr>
        <w:t>1、本次评选方法采用合理低价法。</w:t>
      </w:r>
    </w:p>
    <w:p>
      <w:pPr>
        <w:spacing w:line="480" w:lineRule="exact"/>
        <w:rPr>
          <w:rFonts w:ascii="宋体" w:hAnsi="宋体" w:cs="宋体"/>
          <w:color w:val="auto"/>
          <w:szCs w:val="21"/>
          <w:highlight w:val="none"/>
        </w:rPr>
      </w:pPr>
      <w:r>
        <w:rPr>
          <w:rFonts w:hint="eastAsia" w:ascii="宋体" w:hAnsi="宋体" w:cs="宋体"/>
          <w:color w:val="auto"/>
          <w:szCs w:val="21"/>
          <w:highlight w:val="none"/>
        </w:rPr>
        <w:t>2、有效投标人的投标总报价低于【所有有效投标人总报价平均价*（1-10%）】的视为低于成本价，按无效标处理。</w:t>
      </w:r>
    </w:p>
    <w:p>
      <w:pPr>
        <w:spacing w:line="480" w:lineRule="exact"/>
        <w:rPr>
          <w:rFonts w:hint="eastAsia" w:ascii="宋体" w:hAnsi="宋体" w:cs="宋体"/>
          <w:color w:val="auto"/>
          <w:szCs w:val="21"/>
          <w:highlight w:val="none"/>
        </w:rPr>
      </w:pPr>
      <w:r>
        <w:rPr>
          <w:rFonts w:hint="eastAsia" w:ascii="宋体" w:hAnsi="宋体" w:cs="宋体"/>
          <w:color w:val="auto"/>
          <w:szCs w:val="21"/>
          <w:highlight w:val="none"/>
        </w:rPr>
        <w:t>3、评标小组对满足招标文件实质性要求的投标文件，最终按投标总报价从低到高的先后顺序推荐3名中标候选人，投标总报价最低的为中标候选人，低于成本价的除外，有效投标人的投标总报价低于【有效投标人投标报价的平均价*（1-10%）】的视为低于成本价。投标报价相等，由招标人随机抽取确定。</w:t>
      </w: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p>
      <w:pPr>
        <w:pStyle w:val="13"/>
        <w:rPr>
          <w:rFonts w:hint="eastAsia"/>
          <w:color w:val="auto"/>
          <w:highlight w:val="none"/>
        </w:rPr>
      </w:pPr>
    </w:p>
    <w:p>
      <w:pPr>
        <w:rPr>
          <w:rFonts w:hint="eastAsia" w:ascii="仿宋" w:hAnsi="仿宋" w:eastAsia="仿宋" w:cs="仿宋"/>
          <w:b/>
          <w:color w:val="auto"/>
          <w:sz w:val="24"/>
          <w:szCs w:val="24"/>
          <w:highlight w:val="none"/>
        </w:rPr>
      </w:pPr>
    </w:p>
    <w:bookmarkEnd w:id="7"/>
    <w:bookmarkEnd w:id="8"/>
    <w:bookmarkEnd w:id="9"/>
    <w:p>
      <w:pPr>
        <w:pStyle w:val="2"/>
        <w:numPr>
          <w:ilvl w:val="0"/>
          <w:numId w:val="0"/>
        </w:numPr>
        <w:jc w:val="center"/>
        <w:rPr>
          <w:rFonts w:hint="default" w:ascii="宋体" w:hAnsi="宋体" w:eastAsia="宋体" w:cs="宋体"/>
          <w:b/>
          <w:bCs/>
          <w:color w:val="auto"/>
          <w:kern w:val="44"/>
          <w:sz w:val="28"/>
          <w:szCs w:val="28"/>
          <w:highlight w:val="none"/>
          <w:lang w:val="en-US" w:eastAsia="zh-CN" w:bidi="ar-SA"/>
        </w:rPr>
      </w:pPr>
      <w:bookmarkStart w:id="10" w:name="_Toc909"/>
      <w:bookmarkStart w:id="11" w:name="_Toc77262196"/>
      <w:r>
        <w:rPr>
          <w:rFonts w:hint="eastAsia" w:ascii="宋体" w:hAnsi="宋体" w:eastAsia="宋体" w:cs="宋体"/>
          <w:b/>
          <w:bCs/>
          <w:color w:val="auto"/>
          <w:sz w:val="28"/>
          <w:szCs w:val="28"/>
          <w:highlight w:val="none"/>
          <w:lang w:val="en-US" w:eastAsia="zh-CN"/>
        </w:rPr>
        <w:t>第三章  服务要求</w:t>
      </w:r>
      <w:bookmarkEnd w:id="10"/>
    </w:p>
    <w:p>
      <w:pPr>
        <w:spacing w:before="120" w:beforeLines="50" w:after="120" w:afterLines="50" w:line="440" w:lineRule="exact"/>
        <w:ind w:firstLine="482" w:firstLineChars="200"/>
        <w:jc w:val="left"/>
        <w:rPr>
          <w:rFonts w:ascii="宋体" w:cs="宋体"/>
          <w:b/>
          <w:bCs/>
          <w:color w:val="auto"/>
          <w:sz w:val="24"/>
          <w:highlight w:val="none"/>
        </w:rPr>
      </w:pPr>
      <w:r>
        <w:rPr>
          <w:rFonts w:hint="eastAsia" w:ascii="宋体" w:hAnsi="宋体" w:cs="宋体"/>
          <w:b/>
          <w:bCs/>
          <w:color w:val="auto"/>
          <w:sz w:val="24"/>
          <w:highlight w:val="none"/>
        </w:rPr>
        <w:t>一、项目概况</w:t>
      </w:r>
    </w:p>
    <w:p>
      <w:pPr>
        <w:spacing w:line="44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项目占地71亩，建筑面积约</w:t>
      </w:r>
      <w:r>
        <w:rPr>
          <w:rFonts w:hint="eastAsia" w:ascii="宋体" w:hAnsi="宋体" w:cs="宋体"/>
          <w:color w:val="auto"/>
          <w:szCs w:val="21"/>
          <w:highlight w:val="none"/>
          <w:lang w:val="en-US" w:eastAsia="zh-CN"/>
        </w:rPr>
        <w:t>10.9万</w:t>
      </w:r>
      <w:r>
        <w:rPr>
          <w:rFonts w:hint="eastAsia" w:ascii="宋体" w:hAnsi="宋体" w:cs="宋体"/>
          <w:color w:val="auto"/>
          <w:szCs w:val="21"/>
          <w:highlight w:val="none"/>
        </w:rPr>
        <w:t>平方米。</w:t>
      </w:r>
    </w:p>
    <w:p>
      <w:pPr>
        <w:spacing w:before="120" w:beforeLines="50" w:after="120" w:afterLines="50" w:line="440" w:lineRule="exact"/>
        <w:ind w:firstLine="482" w:firstLineChars="200"/>
        <w:jc w:val="left"/>
        <w:rPr>
          <w:rFonts w:hint="default" w:ascii="宋体" w:eastAsia="宋体" w:cs="宋体"/>
          <w:b/>
          <w:bCs/>
          <w:color w:val="auto"/>
          <w:sz w:val="24"/>
          <w:highlight w:val="none"/>
          <w:lang w:val="en-US" w:eastAsia="zh-CN"/>
        </w:rPr>
      </w:pPr>
      <w:r>
        <w:rPr>
          <w:rFonts w:hint="eastAsia" w:ascii="宋体" w:hAnsi="宋体" w:cs="宋体"/>
          <w:b/>
          <w:bCs/>
          <w:color w:val="auto"/>
          <w:sz w:val="24"/>
          <w:highlight w:val="none"/>
        </w:rPr>
        <w:t>二、检测内容</w:t>
      </w:r>
      <w:r>
        <w:rPr>
          <w:rFonts w:hint="eastAsia" w:ascii="宋体" w:hAnsi="宋体" w:cs="宋体"/>
          <w:b/>
          <w:bCs/>
          <w:color w:val="auto"/>
          <w:sz w:val="24"/>
          <w:highlight w:val="none"/>
          <w:lang w:val="en-US" w:eastAsia="zh-CN"/>
        </w:rPr>
        <w:t>要求</w:t>
      </w:r>
    </w:p>
    <w:p>
      <w:pPr>
        <w:spacing w:line="38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主要内容包括（但不限于）：基坑监测、建筑物沉降观测及招标人根据实际需求增加的内容，以及其他设计、行业及国家有关现行技术规范、规程、标准规定的监测项目和甲方安排的为保障项目的质量、安全和使用的其他监测内容。</w:t>
      </w:r>
    </w:p>
    <w:p>
      <w:pPr>
        <w:spacing w:line="38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合同履行期限：自监测合同签署之日至所监测的项目内容全部施工完毕且竣工验收合格为止。中标后3个工作日内提供经招标人认可的详细工作计划。</w:t>
      </w:r>
    </w:p>
    <w:p>
      <w:pPr>
        <w:spacing w:line="380" w:lineRule="exact"/>
        <w:ind w:firstLine="420" w:firstLineChars="200"/>
        <w:jc w:val="left"/>
        <w:rPr>
          <w:rFonts w:hint="eastAsia" w:ascii="宋体" w:hAnsi="宋体" w:eastAsia="宋体" w:cs="Times New Roman"/>
          <w:color w:val="auto"/>
          <w:szCs w:val="21"/>
          <w:highlight w:val="none"/>
        </w:rPr>
      </w:pPr>
    </w:p>
    <w:p>
      <w:pPr>
        <w:spacing w:line="38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p>
      <w:pPr>
        <w:spacing w:line="38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1、本项目的监测包含但不限于以上监测内容, 所有监测内容均必须严格按照规范规定、设计和竣工验收的要求进行检测，并达到竣工验收条件。</w:t>
      </w:r>
    </w:p>
    <w:p>
      <w:pPr>
        <w:spacing w:line="38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2、本项目的监测需要同时满足设计要求、相关主管部门要求、甲方要求。</w:t>
      </w:r>
    </w:p>
    <w:p>
      <w:pPr>
        <w:spacing w:line="38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3、如对相关规范、图纸理解存在争议，以甲方（监理、设计）意见为准。</w:t>
      </w:r>
    </w:p>
    <w:p>
      <w:pPr>
        <w:spacing w:line="38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对于中标人资质从业范围内无法满足该项目的监测项目，由中标机构委托（须经业主认可）具备相应能力、资质的单位完成，并出具相应的报告，但所有费用应包含在本次投标报价中，且中标人必须对所有报告负总责。</w:t>
      </w:r>
    </w:p>
    <w:p>
      <w:pPr>
        <w:spacing w:before="120" w:beforeLines="50" w:after="120" w:afterLines="50" w:line="440" w:lineRule="exact"/>
        <w:ind w:firstLine="482" w:firstLineChars="200"/>
        <w:jc w:val="left"/>
        <w:rPr>
          <w:rFonts w:hint="default"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三、检测清单仅作参考，最终</w:t>
      </w:r>
      <w:r>
        <w:rPr>
          <w:rFonts w:hint="eastAsia" w:ascii="宋体" w:hAnsi="宋体" w:cs="宋体"/>
          <w:b/>
          <w:bCs/>
          <w:color w:val="auto"/>
          <w:sz w:val="24"/>
          <w:highlight w:val="none"/>
          <w:lang w:val="en-US" w:eastAsia="zh-CN"/>
        </w:rPr>
        <w:t>监测、观</w:t>
      </w:r>
      <w:r>
        <w:rPr>
          <w:rFonts w:hint="eastAsia" w:ascii="宋体" w:hAnsi="宋体" w:eastAsia="宋体" w:cs="宋体"/>
          <w:b/>
          <w:bCs/>
          <w:color w:val="auto"/>
          <w:sz w:val="24"/>
          <w:highlight w:val="none"/>
          <w:lang w:val="en-US" w:eastAsia="zh-CN"/>
        </w:rPr>
        <w:t>测工程量以现场实际情况为准，满足设计</w:t>
      </w:r>
      <w:r>
        <w:rPr>
          <w:rFonts w:hint="eastAsia" w:ascii="宋体" w:hAnsi="宋体" w:cs="宋体"/>
          <w:b/>
          <w:bCs/>
          <w:color w:val="auto"/>
          <w:sz w:val="24"/>
          <w:highlight w:val="none"/>
          <w:lang w:val="en-US" w:eastAsia="zh-CN"/>
        </w:rPr>
        <w:t>图纸</w:t>
      </w:r>
      <w:r>
        <w:rPr>
          <w:rFonts w:hint="eastAsia" w:ascii="宋体" w:hAnsi="宋体" w:eastAsia="宋体" w:cs="宋体"/>
          <w:b/>
          <w:bCs/>
          <w:color w:val="auto"/>
          <w:sz w:val="24"/>
          <w:highlight w:val="none"/>
          <w:lang w:val="en-US" w:eastAsia="zh-CN"/>
        </w:rPr>
        <w:t>要求、相关主管部门要求、招标人要求。</w:t>
      </w:r>
    </w:p>
    <w:tbl>
      <w:tblPr>
        <w:tblStyle w:val="47"/>
        <w:tblW w:w="9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1"/>
        <w:gridCol w:w="1075"/>
        <w:gridCol w:w="1339"/>
        <w:gridCol w:w="13"/>
        <w:gridCol w:w="3080"/>
        <w:gridCol w:w="44"/>
        <w:gridCol w:w="3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94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58"/>
                <w:lang w:val="en-US" w:eastAsia="zh-CN" w:bidi="ar"/>
              </w:rPr>
              <w:t>基坑监测</w:t>
            </w:r>
            <w:r>
              <w:rPr>
                <w:rStyle w:val="158"/>
                <w:rFonts w:hint="eastAsia"/>
                <w:lang w:val="en-US" w:eastAsia="zh-CN" w:bidi="ar"/>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59"/>
                <w:lang w:val="en-US" w:eastAsia="zh-CN" w:bidi="ar"/>
              </w:rPr>
              <w:t>序号</w:t>
            </w:r>
          </w:p>
        </w:tc>
        <w:tc>
          <w:tcPr>
            <w:tcW w:w="2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59"/>
                <w:lang w:val="en-US" w:eastAsia="zh-CN" w:bidi="ar"/>
              </w:rPr>
              <w:t>监测项目</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59"/>
                <w:lang w:val="en-US" w:eastAsia="zh-CN" w:bidi="ar"/>
              </w:rPr>
              <w:t>监测点数(点)</w:t>
            </w:r>
          </w:p>
        </w:tc>
        <w:tc>
          <w:tcPr>
            <w:tcW w:w="3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59"/>
                <w:lang w:val="en-US" w:eastAsia="zh-CN" w:bidi="ar"/>
              </w:rPr>
              <w:t>监测次数(次)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59"/>
                <w:lang w:val="en-US" w:eastAsia="zh-CN" w:bidi="ar"/>
              </w:rPr>
              <w:t>支护结构顶部水平位移</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w:t>
            </w:r>
          </w:p>
        </w:tc>
        <w:tc>
          <w:tcPr>
            <w:tcW w:w="306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right="-674" w:rightChars="-321" w:firstLine="1440" w:firstLineChars="800"/>
              <w:jc w:val="both"/>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2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59"/>
                <w:lang w:val="en-US" w:eastAsia="zh-CN" w:bidi="ar"/>
              </w:rPr>
              <w:t>支护结构顶部竖向位移</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w:t>
            </w:r>
          </w:p>
        </w:tc>
        <w:tc>
          <w:tcPr>
            <w:tcW w:w="306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59"/>
                <w:lang w:val="en-US" w:eastAsia="zh-CN" w:bidi="ar"/>
              </w:rPr>
              <w:t>深层水平位移</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06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2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59"/>
                <w:lang w:val="en-US" w:eastAsia="zh-CN" w:bidi="ar"/>
              </w:rPr>
              <w:t>周边道路竖向位移</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w:t>
            </w:r>
          </w:p>
        </w:tc>
        <w:tc>
          <w:tcPr>
            <w:tcW w:w="306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59"/>
                <w:lang w:val="en-US" w:eastAsia="zh-CN" w:bidi="ar"/>
              </w:rPr>
              <w:t>周边构筑物水平位移</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w:t>
            </w:r>
          </w:p>
        </w:tc>
        <w:tc>
          <w:tcPr>
            <w:tcW w:w="306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94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lang w:val="en-US" w:eastAsia="zh-CN"/>
              </w:rPr>
            </w:pPr>
            <w:r>
              <w:rPr>
                <w:rStyle w:val="158"/>
                <w:rFonts w:hint="eastAsia" w:ascii="宋体" w:hAnsi="宋体" w:eastAsia="宋体" w:cs="宋体"/>
                <w:i w:val="0"/>
                <w:iCs w:val="0"/>
                <w:color w:val="000000"/>
                <w:lang w:val="en-US" w:eastAsia="zh-CN" w:bidi="ar"/>
              </w:rPr>
              <w:t>沉降观测清单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60"/>
                <w:lang w:val="en-US" w:eastAsia="zh-CN" w:bidi="ar"/>
              </w:rPr>
              <w:t>序号</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60"/>
                <w:lang w:val="en-US" w:eastAsia="zh-CN" w:bidi="ar"/>
              </w:rPr>
              <w:t>楼号</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60"/>
                <w:lang w:val="en-US" w:eastAsia="zh-CN" w:bidi="ar"/>
              </w:rPr>
              <w:t>楼层</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60"/>
                <w:lang w:val="en-US" w:eastAsia="zh-CN" w:bidi="ar"/>
              </w:rPr>
              <w:t>点数</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2"/>
                <w:szCs w:val="22"/>
                <w:u w:val="none"/>
                <w:lang w:val="en-US" w:eastAsia="zh-CN" w:bidi="ar-SA"/>
              </w:rPr>
            </w:pPr>
            <w:r>
              <w:rPr>
                <w:rStyle w:val="160"/>
                <w:lang w:val="en-US" w:eastAsia="zh-CN" w:bidi="ar"/>
              </w:rPr>
              <w:t>观测次数(次)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9#</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11</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60"/>
                <w:lang w:val="en-US" w:eastAsia="zh-CN" w:bidi="ar"/>
              </w:rPr>
              <w:t>15#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14</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15</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17#</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16</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17</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19#</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18</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19</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21#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22#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21</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23#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22</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60"/>
                <w:lang w:val="en-US" w:eastAsia="zh-CN" w:bidi="ar"/>
              </w:rPr>
              <w:t>24#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w:t>
            </w:r>
          </w:p>
        </w:tc>
      </w:tr>
    </w:tbl>
    <w:p>
      <w:pPr>
        <w:spacing w:line="360" w:lineRule="auto"/>
        <w:ind w:left="482"/>
        <w:rPr>
          <w:rFonts w:hint="eastAsia" w:ascii="宋体" w:hAnsi="宋体" w:cs="宋体"/>
          <w:b/>
          <w:color w:val="auto"/>
          <w:sz w:val="24"/>
          <w:highlight w:val="none"/>
          <w:lang w:val="en-US" w:eastAsia="zh-CN"/>
        </w:rPr>
      </w:pPr>
    </w:p>
    <w:p>
      <w:pPr>
        <w:spacing w:line="360" w:lineRule="auto"/>
        <w:ind w:left="482"/>
        <w:rPr>
          <w:rFonts w:hint="eastAsia" w:ascii="宋体" w:hAnsi="宋体" w:cs="宋体"/>
          <w:color w:val="auto"/>
          <w:sz w:val="24"/>
          <w:highlight w:val="none"/>
        </w:rPr>
      </w:pP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、监测规范</w:t>
      </w:r>
      <w:r>
        <w:rPr>
          <w:rFonts w:hint="eastAsia" w:ascii="宋体" w:hAnsi="宋体" w:cs="宋体"/>
          <w:color w:val="auto"/>
          <w:sz w:val="24"/>
          <w:highlight w:val="none"/>
        </w:rPr>
        <w:t>：</w:t>
      </w:r>
    </w:p>
    <w:p>
      <w:pPr>
        <w:spacing w:line="360" w:lineRule="auto"/>
        <w:ind w:left="480"/>
        <w:rPr>
          <w:rFonts w:ascii="宋体" w:hAnsi="宋体" w:cs="宋体"/>
          <w:color w:val="auto"/>
          <w:sz w:val="21"/>
          <w:szCs w:val="21"/>
          <w:highlight w:val="none"/>
        </w:rPr>
      </w:pPr>
      <w:r>
        <w:rPr>
          <w:rFonts w:hint="eastAsia" w:ascii="宋体" w:hAnsi="宋体" w:cs="宋体"/>
          <w:color w:val="auto"/>
          <w:sz w:val="21"/>
          <w:szCs w:val="21"/>
          <w:highlight w:val="none"/>
        </w:rPr>
        <w:t>①必须严格按照国家及地方有关部门最新颁布的相关标准及规范、规定、法律条文等要求执行。按照相关施工图纸，其检测方案须满足设计要求、国家现行规范的规定，还需满足质检部门要求。</w:t>
      </w:r>
    </w:p>
    <w:p>
      <w:pPr>
        <w:spacing w:line="360" w:lineRule="auto"/>
        <w:ind w:left="480"/>
        <w:rPr>
          <w:rFonts w:ascii="宋体" w:hAnsi="宋体" w:cs="宋体"/>
          <w:color w:val="auto"/>
          <w:sz w:val="21"/>
          <w:szCs w:val="21"/>
          <w:highlight w:val="none"/>
        </w:rPr>
      </w:pPr>
      <w:r>
        <w:rPr>
          <w:rFonts w:hint="eastAsia" w:ascii="宋体" w:hAnsi="宋体" w:cs="宋体"/>
          <w:color w:val="auto"/>
          <w:sz w:val="21"/>
          <w:szCs w:val="21"/>
          <w:highlight w:val="none"/>
        </w:rPr>
        <w:t>②《建筑地基基础设计规程》GB50007-2002</w:t>
      </w:r>
    </w:p>
    <w:p>
      <w:pPr>
        <w:spacing w:line="360" w:lineRule="auto"/>
        <w:ind w:left="480"/>
        <w:rPr>
          <w:rFonts w:ascii="宋体" w:hAnsi="宋体" w:cs="宋体"/>
          <w:color w:val="auto"/>
          <w:sz w:val="21"/>
          <w:szCs w:val="21"/>
          <w:highlight w:val="none"/>
        </w:rPr>
      </w:pPr>
      <w:r>
        <w:rPr>
          <w:rFonts w:hint="eastAsia" w:ascii="宋体" w:hAnsi="宋体" w:cs="宋体"/>
          <w:color w:val="auto"/>
          <w:sz w:val="21"/>
          <w:szCs w:val="21"/>
          <w:highlight w:val="none"/>
        </w:rPr>
        <w:t>③《建筑地基处理技术规范》JGJ79-2002</w:t>
      </w:r>
    </w:p>
    <w:p>
      <w:pPr>
        <w:spacing w:line="360" w:lineRule="auto"/>
        <w:ind w:left="480"/>
        <w:rPr>
          <w:rFonts w:ascii="宋体" w:hAnsi="宋体" w:cs="宋体"/>
          <w:color w:val="auto"/>
          <w:sz w:val="21"/>
          <w:szCs w:val="21"/>
          <w:highlight w:val="none"/>
        </w:rPr>
      </w:pPr>
      <w:r>
        <w:rPr>
          <w:rFonts w:hint="eastAsia" w:ascii="宋体" w:hAnsi="宋体" w:cs="宋体"/>
          <w:color w:val="auto"/>
          <w:sz w:val="21"/>
          <w:szCs w:val="21"/>
          <w:highlight w:val="none"/>
        </w:rPr>
        <w:t>④《建筑地基基础工程施工质量验收规范》GB50202-2002</w:t>
      </w:r>
    </w:p>
    <w:p>
      <w:pPr>
        <w:spacing w:line="360" w:lineRule="auto"/>
        <w:ind w:left="480"/>
        <w:rPr>
          <w:rFonts w:ascii="宋体" w:hAnsi="宋体" w:cs="宋体"/>
          <w:color w:val="auto"/>
          <w:sz w:val="21"/>
          <w:szCs w:val="21"/>
          <w:highlight w:val="none"/>
        </w:rPr>
      </w:pPr>
      <w:r>
        <w:rPr>
          <w:rFonts w:hint="eastAsia" w:ascii="宋体" w:hAnsi="宋体" w:cs="宋体"/>
          <w:color w:val="auto"/>
          <w:sz w:val="21"/>
          <w:szCs w:val="21"/>
          <w:highlight w:val="none"/>
        </w:rPr>
        <w:t>⑤《建筑变形测量规范》（JCJ8-20</w:t>
      </w:r>
      <w:r>
        <w:rPr>
          <w:rFonts w:ascii="宋体" w:hAnsi="宋体" w:cs="宋体"/>
          <w:color w:val="auto"/>
          <w:sz w:val="21"/>
          <w:szCs w:val="21"/>
          <w:highlight w:val="none"/>
        </w:rPr>
        <w:t>16</w:t>
      </w:r>
      <w:r>
        <w:rPr>
          <w:rFonts w:hint="eastAsia" w:ascii="宋体" w:hAnsi="宋体" w:cs="宋体"/>
          <w:color w:val="auto"/>
          <w:sz w:val="21"/>
          <w:szCs w:val="21"/>
          <w:highlight w:val="none"/>
        </w:rPr>
        <w:t>）</w:t>
      </w:r>
    </w:p>
    <w:p>
      <w:pPr>
        <w:spacing w:line="360" w:lineRule="auto"/>
        <w:ind w:left="480"/>
        <w:rPr>
          <w:rFonts w:ascii="宋体" w:hAnsi="宋体" w:cs="宋体"/>
          <w:color w:val="auto"/>
          <w:sz w:val="21"/>
          <w:szCs w:val="21"/>
          <w:highlight w:val="none"/>
        </w:rPr>
      </w:pPr>
      <w:r>
        <w:rPr>
          <w:rFonts w:hint="eastAsia" w:ascii="宋体" w:hAnsi="宋体" w:cs="宋体"/>
          <w:color w:val="auto"/>
          <w:sz w:val="21"/>
          <w:szCs w:val="21"/>
          <w:highlight w:val="none"/>
        </w:rPr>
        <w:t>⑥满足基坑变形监测和建筑物沉降观测相关技术规范和验收要求。</w:t>
      </w:r>
    </w:p>
    <w:p>
      <w:pPr>
        <w:spacing w:line="360" w:lineRule="auto"/>
        <w:ind w:left="480"/>
        <w:rPr>
          <w:rFonts w:hint="eastAsia" w:ascii="宋体" w:hAnsi="宋体" w:cs="宋体"/>
          <w:b/>
          <w:color w:val="auto"/>
          <w:sz w:val="24"/>
          <w:highlight w:val="none"/>
        </w:rPr>
      </w:pP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、基坑监测内容：</w:t>
      </w:r>
    </w:p>
    <w:p>
      <w:pPr>
        <w:spacing w:line="360" w:lineRule="auto"/>
        <w:ind w:firstLine="420" w:firstLineChars="200"/>
        <w:rPr>
          <w:rFonts w:hint="eastAsia" w:ascii="宋体" w:hAnsi="宋体" w:cs="宋体"/>
          <w:b/>
          <w:bCs/>
          <w:color w:val="auto"/>
          <w:sz w:val="21"/>
          <w:szCs w:val="21"/>
          <w:highlight w:val="none"/>
        </w:rPr>
      </w:pPr>
      <w:r>
        <w:rPr>
          <w:rFonts w:hint="eastAsia" w:ascii="宋体" w:hAnsi="宋体" w:cs="宋体"/>
          <w:color w:val="auto"/>
          <w:sz w:val="21"/>
          <w:szCs w:val="21"/>
          <w:highlight w:val="none"/>
        </w:rPr>
        <w:t>详见设计施工图纸。</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监测内容（供参考）：</w:t>
      </w:r>
    </w:p>
    <w:p>
      <w:pPr>
        <w:spacing w:line="360" w:lineRule="auto"/>
        <w:ind w:left="630" w:leftChars="300"/>
        <w:rPr>
          <w:rFonts w:hint="eastAsia" w:ascii="宋体" w:hAnsi="宋体" w:cs="宋体"/>
          <w:color w:val="auto"/>
          <w:sz w:val="21"/>
          <w:szCs w:val="21"/>
          <w:highlight w:val="none"/>
        </w:rPr>
      </w:pPr>
      <w:r>
        <w:rPr>
          <w:rFonts w:hint="eastAsia" w:ascii="宋体" w:hAnsi="宋体" w:cs="宋体"/>
          <w:color w:val="auto"/>
          <w:sz w:val="21"/>
          <w:szCs w:val="21"/>
          <w:highlight w:val="none"/>
        </w:rPr>
        <w:t>1﹑</w:t>
      </w:r>
      <w:bookmarkStart w:id="12" w:name="_Hlk54625670"/>
      <w:r>
        <w:rPr>
          <w:rFonts w:hint="eastAsia" w:ascii="宋体" w:hAnsi="宋体" w:cs="宋体"/>
          <w:color w:val="auto"/>
          <w:sz w:val="21"/>
          <w:szCs w:val="21"/>
          <w:highlight w:val="none"/>
        </w:rPr>
        <w:t>支护结构顶部竖向位移监测；</w:t>
      </w:r>
    </w:p>
    <w:p>
      <w:pPr>
        <w:spacing w:line="360" w:lineRule="auto"/>
        <w:ind w:left="630" w:leftChars="300"/>
        <w:rPr>
          <w:rFonts w:hint="eastAsia" w:ascii="宋体" w:hAnsi="宋体" w:cs="宋体"/>
          <w:color w:val="auto"/>
          <w:sz w:val="21"/>
          <w:szCs w:val="21"/>
          <w:highlight w:val="none"/>
        </w:rPr>
      </w:pPr>
      <w:r>
        <w:rPr>
          <w:rFonts w:hint="eastAsia" w:ascii="宋体" w:hAnsi="宋体" w:cs="宋体"/>
          <w:color w:val="auto"/>
          <w:sz w:val="21"/>
          <w:szCs w:val="21"/>
          <w:highlight w:val="none"/>
        </w:rPr>
        <w:t>2﹑支护结构顶部水平位移监测；</w:t>
      </w:r>
    </w:p>
    <w:p>
      <w:pPr>
        <w:spacing w:line="360" w:lineRule="auto"/>
        <w:ind w:left="630" w:leftChars="300"/>
        <w:rPr>
          <w:rFonts w:hint="eastAsia" w:ascii="宋体" w:hAnsi="宋体" w:cs="宋体"/>
          <w:color w:val="auto"/>
          <w:sz w:val="21"/>
          <w:szCs w:val="21"/>
          <w:highlight w:val="none"/>
        </w:rPr>
      </w:pPr>
      <w:r>
        <w:rPr>
          <w:rFonts w:hint="eastAsia" w:ascii="宋体" w:hAnsi="宋体" w:cs="宋体"/>
          <w:color w:val="auto"/>
          <w:sz w:val="21"/>
          <w:szCs w:val="21"/>
          <w:highlight w:val="none"/>
        </w:rPr>
        <w:t>3﹑深层水平位移监测；</w:t>
      </w:r>
    </w:p>
    <w:p>
      <w:pPr>
        <w:spacing w:line="360" w:lineRule="auto"/>
        <w:ind w:left="630" w:leftChars="300"/>
        <w:rPr>
          <w:rFonts w:hint="eastAsia" w:ascii="宋体" w:hAnsi="宋体" w:cs="宋体"/>
          <w:color w:val="auto"/>
          <w:sz w:val="21"/>
          <w:szCs w:val="21"/>
          <w:highlight w:val="none"/>
        </w:rPr>
      </w:pPr>
      <w:r>
        <w:rPr>
          <w:rFonts w:hint="eastAsia" w:ascii="宋体" w:hAnsi="宋体" w:cs="宋体"/>
          <w:color w:val="auto"/>
          <w:sz w:val="21"/>
          <w:szCs w:val="21"/>
          <w:highlight w:val="none"/>
        </w:rPr>
        <w:t>4﹑周边地表竖向位移监测</w:t>
      </w:r>
      <w:bookmarkEnd w:id="12"/>
      <w:r>
        <w:rPr>
          <w:rFonts w:hint="eastAsia" w:ascii="宋体" w:hAnsi="宋体" w:cs="宋体"/>
          <w:color w:val="auto"/>
          <w:sz w:val="21"/>
          <w:szCs w:val="21"/>
          <w:highlight w:val="none"/>
        </w:rPr>
        <w:t>；</w:t>
      </w:r>
    </w:p>
    <w:p>
      <w:pPr>
        <w:spacing w:line="360" w:lineRule="auto"/>
        <w:ind w:left="630" w:leftChars="300"/>
        <w:rPr>
          <w:rFonts w:hint="eastAsia" w:ascii="宋体" w:hAnsi="宋体" w:cs="宋体"/>
          <w:color w:val="auto"/>
          <w:sz w:val="21"/>
          <w:szCs w:val="21"/>
          <w:highlight w:val="none"/>
        </w:rPr>
      </w:pPr>
      <w:r>
        <w:rPr>
          <w:rFonts w:hint="eastAsia" w:ascii="宋体" w:hAnsi="宋体" w:cs="宋体"/>
          <w:color w:val="auto"/>
          <w:sz w:val="21"/>
          <w:szCs w:val="21"/>
          <w:highlight w:val="none"/>
        </w:rPr>
        <w:t>5﹑周边建筑竖向位移；</w:t>
      </w:r>
    </w:p>
    <w:p>
      <w:pPr>
        <w:spacing w:line="360" w:lineRule="auto"/>
        <w:ind w:left="630" w:leftChars="300"/>
        <w:rPr>
          <w:rFonts w:hint="eastAsia" w:ascii="宋体" w:hAnsi="宋体" w:cs="宋体"/>
          <w:color w:val="auto"/>
          <w:sz w:val="21"/>
          <w:szCs w:val="21"/>
          <w:highlight w:val="none"/>
        </w:rPr>
      </w:pPr>
      <w:r>
        <w:rPr>
          <w:rFonts w:hint="eastAsia" w:ascii="宋体" w:hAnsi="宋体" w:cs="宋体"/>
          <w:color w:val="auto"/>
          <w:sz w:val="21"/>
          <w:szCs w:val="21"/>
          <w:highlight w:val="none"/>
        </w:rPr>
        <w:t>6﹑周边管线变形监测；</w:t>
      </w:r>
    </w:p>
    <w:p>
      <w:pPr>
        <w:spacing w:line="360" w:lineRule="auto"/>
        <w:ind w:left="630" w:leftChars="300"/>
        <w:rPr>
          <w:rFonts w:hint="eastAsia" w:ascii="宋体" w:hAnsi="宋体" w:cs="宋体"/>
          <w:color w:val="auto"/>
          <w:sz w:val="21"/>
          <w:szCs w:val="21"/>
          <w:highlight w:val="none"/>
        </w:rPr>
      </w:pPr>
      <w:r>
        <w:rPr>
          <w:rFonts w:hint="eastAsia" w:ascii="宋体" w:hAnsi="宋体" w:cs="宋体"/>
          <w:color w:val="auto"/>
          <w:sz w:val="21"/>
          <w:szCs w:val="21"/>
          <w:highlight w:val="none"/>
        </w:rPr>
        <w:t>7﹑周边地表裂缝监测。</w:t>
      </w:r>
    </w:p>
    <w:p>
      <w:pPr>
        <w:spacing w:line="360" w:lineRule="auto"/>
        <w:ind w:left="480"/>
        <w:rPr>
          <w:rFonts w:hint="eastAsia" w:ascii="宋体" w:hAnsi="宋体" w:cs="宋体"/>
          <w:b/>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、基坑监测制度</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基坑施工之前，监测单位须制定监测方案，监测方案必须经过设计单位审定。</w:t>
      </w:r>
    </w:p>
    <w:p>
      <w:pPr>
        <w:spacing w:line="360" w:lineRule="auto"/>
        <w:ind w:left="48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 xml:space="preserve"> 监测方案应包括监测项目、监测方法、监测点布置、监测频率、监测时段、报警值、监测结果的分析要求及信息反馈系统等。</w:t>
      </w:r>
    </w:p>
    <w:p>
      <w:pPr>
        <w:spacing w:line="360" w:lineRule="auto"/>
        <w:ind w:left="48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基坑施工过程中，监测单位对基坑、支护构件、周围建（构）筑物、道路、地下管线等设施进行动态监测的结果，必须作出分析，监测分析报告经监测人、监测项目负责人、监测单位技术负责人签字确认，提供施工、监理、设计、招标人。</w:t>
      </w:r>
    </w:p>
    <w:p>
      <w:pPr>
        <w:spacing w:line="360" w:lineRule="auto"/>
        <w:ind w:left="48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基坑监测结果报告必须包括监测项目、允许值、报警值、数据分析、变形—时间曲线、以及监测结果评述。</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 xml:space="preserve"> 监测数据接近或超过报警值时，监测单位应及时向工程参建关各方报告和安监站报告。若出现险情，监测单位首先口头报告再作书面报告签字确认，招标人必须及时组织有关各方采取应急措施和抢险。</w:t>
      </w:r>
    </w:p>
    <w:p>
      <w:pPr>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、基坑监测项目、测点布置和监测要求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基坑监测项目、测点布置、精度要求和报警值必须符合有关规范规定和设计文件要求。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基坑监测项目：支护结构顶部竖向位移监测；支护结构顶部水平位移监测；深层水平位移监测；周边地表竖向位移监测；周边建筑竖向位移；周边管线变形监测；周边地表裂缝监测。。</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测点布置：各监测项目的基准点须布置在基坑工程影响范围以外的稳固的基础上，距离基坑边不得小于3～5倍基坑开挖深度，测点密度必须满足规定要求。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监测频率：在土方开挖期间对于基坑边坡土体顶部水平位移、和支护结构侧移必须每2天观测不少于一次。当基坑开挖深度增大、连续降雨或发现变形发展较大时，必须加大监测频率；当变形急剧发展或出现破坏预兆时，必须对变形连续监测。</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监测时限：监测工作必须从基坑开挖之前进行，直至完成地下室结构施工至±0.000和基坑与地下室外墙之间的空隙回填，但对于基坑工程影响范围内的建（构）筑物、道路的变形监测应适当延长。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监测预警值：各监测项目的预警值由招标人组织设计、监理、施工、监测单位根据有关规范并结合基坑开挖深度、周边环境特点有针对性地设定，包括总量控制和增量控制。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监测数据的分析和反馈。监测单位对所测各项目数据应进行分析，包括总量和增量变化，对可能的变化趋势进行预测并作出警示。监测成果资料应及时反馈，对于异常情况首先口头通知后立即以书面报告形式通知并签字确认。</w:t>
      </w:r>
    </w:p>
    <w:p>
      <w:pPr>
        <w:spacing w:line="360" w:lineRule="auto"/>
        <w:ind w:firstLine="472" w:firstLineChars="196"/>
        <w:rPr>
          <w:rFonts w:hint="eastAsia" w:ascii="宋体" w:hAnsi="宋体" w:cs="宋体"/>
          <w:b/>
          <w:color w:val="auto"/>
          <w:sz w:val="24"/>
          <w:highlight w:val="none"/>
        </w:rPr>
      </w:pPr>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、质量标准</w:t>
      </w:r>
    </w:p>
    <w:p>
      <w:pPr>
        <w:spacing w:line="360" w:lineRule="auto"/>
        <w:ind w:firstLine="420" w:firstLineChars="200"/>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投标人应按照国家行业标准《建筑变形测量规范》（JGJ8-2016）和安徽省有关规定</w:t>
      </w:r>
      <w:r>
        <w:rPr>
          <w:rFonts w:hint="eastAsia" w:ascii="宋体" w:hAnsi="宋体" w:eastAsia="宋体" w:cs="宋体"/>
          <w:color w:val="auto"/>
          <w:sz w:val="21"/>
          <w:szCs w:val="21"/>
          <w:highlight w:val="none"/>
        </w:rPr>
        <w:t>强制性标准及施工图设计要求</w:t>
      </w:r>
      <w:r>
        <w:rPr>
          <w:rFonts w:hint="eastAsia" w:ascii="宋体" w:hAnsi="宋体" w:eastAsia="宋体" w:cs="宋体"/>
          <w:snapToGrid w:val="0"/>
          <w:color w:val="auto"/>
          <w:sz w:val="21"/>
          <w:szCs w:val="21"/>
          <w:highlight w:val="none"/>
        </w:rPr>
        <w:t>进行沉降观测工作。</w:t>
      </w:r>
    </w:p>
    <w:p>
      <w:pPr>
        <w:spacing w:line="360" w:lineRule="auto"/>
        <w:ind w:firstLine="480"/>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投标人的测量成果须同时满足国家、省市标准、行业标准及招标人技术要求，当上述标准要求不一致时，以要求高者为准。</w:t>
      </w:r>
    </w:p>
    <w:p>
      <w:pPr>
        <w:spacing w:line="360" w:lineRule="auto"/>
        <w:ind w:firstLine="480"/>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投标人须保证测量完成后按时出具完整的基坑监测及建筑物沉降观测报告，并保证报告符合规范的要求及建设行政主管部门验收要求，确保竣工验收备案通过。</w:t>
      </w:r>
    </w:p>
    <w:p>
      <w:pPr>
        <w:spacing w:line="360" w:lineRule="auto"/>
        <w:ind w:firstLine="482" w:firstLineChars="200"/>
        <w:rPr>
          <w:rFonts w:ascii="宋体" w:hAnsi="宋体" w:cs="宋体"/>
          <w:b/>
          <w:bCs/>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w:t>
      </w:r>
      <w:r>
        <w:rPr>
          <w:rFonts w:hint="eastAsia" w:ascii="宋体" w:hAnsi="宋体" w:cs="宋体"/>
          <w:b/>
          <w:bCs/>
          <w:color w:val="auto"/>
          <w:sz w:val="24"/>
          <w:highlight w:val="none"/>
        </w:rPr>
        <w:t>建筑沉降观测要求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观测点布置：（详见设计图纸）</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观测频率：在施工期间每完成一层测读一次，主体结构封顶后每一个月一次；竣工后每一季度一次；竣工一年后每半年一次直至沉降稳定为止。当建筑沉降观测过程中出现《建筑变形测量规程》JGJ8,第3.0.11条所列情况之一时，必须立即报告委托方，同时应及时增加观测次数或调整变形测量方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沉降稳定标准：连续二次半年沉降量不大于2mm。</w:t>
      </w:r>
    </w:p>
    <w:p>
      <w:pPr>
        <w:spacing w:line="440" w:lineRule="exact"/>
        <w:ind w:firstLine="482" w:firstLineChars="200"/>
        <w:jc w:val="left"/>
        <w:rPr>
          <w:rFonts w:hint="eastAsia" w:ascii="宋体" w:hAnsi="宋体" w:eastAsia="宋体" w:cs="宋体"/>
          <w:color w:val="auto"/>
          <w:szCs w:val="21"/>
          <w:highlight w:val="none"/>
          <w:lang w:eastAsia="zh-CN"/>
        </w:rPr>
        <w:sectPr>
          <w:footerReference r:id="rId9" w:type="default"/>
          <w:pgSz w:w="11906" w:h="16838"/>
          <w:pgMar w:top="1134" w:right="1417" w:bottom="1134" w:left="1417" w:header="851" w:footer="850" w:gutter="0"/>
          <w:pgNumType w:fmt="decimal" w:start="1"/>
          <w:cols w:space="720" w:num="1"/>
          <w:docGrid w:linePitch="312" w:charSpace="0"/>
        </w:sectPr>
      </w:pPr>
      <w:r>
        <w:rPr>
          <w:rFonts w:hint="eastAsia" w:ascii="宋体" w:hAnsi="宋体" w:cs="宋体"/>
          <w:b/>
          <w:bCs/>
          <w:color w:val="auto"/>
          <w:sz w:val="24"/>
          <w:highlight w:val="none"/>
          <w:lang w:val="en-US" w:eastAsia="zh-CN"/>
        </w:rPr>
        <w:t xml:space="preserve"> </w:t>
      </w:r>
    </w:p>
    <w:p>
      <w:pPr>
        <w:pageBreakBefore/>
        <w:spacing w:before="249" w:beforeLines="80" w:after="249" w:afterLines="80" w:line="440" w:lineRule="exact"/>
        <w:jc w:val="center"/>
        <w:outlineLvl w:val="1"/>
        <w:rPr>
          <w:rFonts w:hint="eastAsia" w:ascii="宋体" w:eastAsia="宋体"/>
          <w:b/>
          <w:color w:val="auto"/>
          <w:sz w:val="32"/>
          <w:szCs w:val="32"/>
          <w:highlight w:val="none"/>
          <w:lang w:eastAsia="zh-CN"/>
        </w:rPr>
      </w:pPr>
      <w:r>
        <w:rPr>
          <w:rFonts w:hint="eastAsia" w:ascii="宋体"/>
          <w:b/>
          <w:color w:val="auto"/>
          <w:sz w:val="32"/>
          <w:szCs w:val="32"/>
          <w:highlight w:val="none"/>
        </w:rPr>
        <w:t>第</w:t>
      </w:r>
      <w:r>
        <w:rPr>
          <w:rFonts w:hint="eastAsia" w:ascii="宋体"/>
          <w:b/>
          <w:color w:val="auto"/>
          <w:sz w:val="32"/>
          <w:szCs w:val="32"/>
          <w:highlight w:val="none"/>
          <w:lang w:val="en-US" w:eastAsia="zh-CN"/>
        </w:rPr>
        <w:t>四</w:t>
      </w:r>
      <w:r>
        <w:rPr>
          <w:rFonts w:hint="eastAsia" w:ascii="宋体"/>
          <w:b/>
          <w:color w:val="auto"/>
          <w:sz w:val="32"/>
          <w:szCs w:val="32"/>
          <w:highlight w:val="none"/>
        </w:rPr>
        <w:t>章</w:t>
      </w:r>
      <w:r>
        <w:rPr>
          <w:rFonts w:ascii="宋体"/>
          <w:b/>
          <w:color w:val="auto"/>
          <w:sz w:val="32"/>
          <w:szCs w:val="32"/>
          <w:highlight w:val="none"/>
        </w:rPr>
        <w:t xml:space="preserve">  </w:t>
      </w:r>
      <w:r>
        <w:rPr>
          <w:rFonts w:hint="eastAsia" w:ascii="宋体"/>
          <w:b/>
          <w:color w:val="auto"/>
          <w:sz w:val="32"/>
          <w:szCs w:val="32"/>
          <w:highlight w:val="none"/>
        </w:rPr>
        <w:t>合同条款及格式</w:t>
      </w:r>
      <w:bookmarkEnd w:id="11"/>
      <w:r>
        <w:rPr>
          <w:rFonts w:hint="eastAsia" w:ascii="宋体"/>
          <w:b/>
          <w:color w:val="auto"/>
          <w:sz w:val="32"/>
          <w:szCs w:val="32"/>
          <w:highlight w:val="none"/>
          <w:lang w:eastAsia="zh-CN"/>
        </w:rPr>
        <w:t>（</w:t>
      </w:r>
      <w:r>
        <w:rPr>
          <w:rFonts w:hint="eastAsia" w:ascii="宋体"/>
          <w:b/>
          <w:color w:val="auto"/>
          <w:sz w:val="32"/>
          <w:szCs w:val="32"/>
          <w:highlight w:val="none"/>
          <w:lang w:val="en-US" w:eastAsia="zh-CN"/>
        </w:rPr>
        <w:t>仅参考</w:t>
      </w:r>
      <w:r>
        <w:rPr>
          <w:rFonts w:hint="eastAsia" w:ascii="宋体"/>
          <w:b/>
          <w:color w:val="auto"/>
          <w:sz w:val="32"/>
          <w:szCs w:val="32"/>
          <w:highlight w:val="none"/>
          <w:lang w:eastAsia="zh-CN"/>
        </w:rPr>
        <w:t>）</w:t>
      </w:r>
    </w:p>
    <w:p>
      <w:pPr>
        <w:spacing w:line="360" w:lineRule="auto"/>
        <w:jc w:val="center"/>
        <w:rPr>
          <w:b/>
          <w:color w:val="auto"/>
          <w:sz w:val="28"/>
          <w:szCs w:val="28"/>
          <w:highlight w:val="none"/>
        </w:rPr>
      </w:pPr>
      <w:r>
        <w:rPr>
          <w:rFonts w:hint="eastAsia"/>
          <w:b/>
          <w:color w:val="auto"/>
          <w:sz w:val="28"/>
          <w:szCs w:val="28"/>
          <w:highlight w:val="none"/>
        </w:rPr>
        <w:t>第一部分</w:t>
      </w:r>
      <w:r>
        <w:rPr>
          <w:b/>
          <w:color w:val="auto"/>
          <w:sz w:val="28"/>
          <w:szCs w:val="28"/>
          <w:highlight w:val="none"/>
        </w:rPr>
        <w:t xml:space="preserve">  </w:t>
      </w:r>
      <w:r>
        <w:rPr>
          <w:rFonts w:hint="eastAsia"/>
          <w:b/>
          <w:color w:val="auto"/>
          <w:sz w:val="28"/>
          <w:szCs w:val="28"/>
          <w:highlight w:val="none"/>
        </w:rPr>
        <w:t>合同协议书</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宋体" w:cs="宋体"/>
          <w:color w:val="auto"/>
          <w:szCs w:val="21"/>
          <w:highlight w:val="none"/>
          <w:u w:val="single"/>
        </w:rPr>
      </w:pPr>
      <w:r>
        <w:rPr>
          <w:rFonts w:hint="eastAsia" w:ascii="宋体" w:hAnsi="宋体" w:cs="宋体"/>
          <w:color w:val="auto"/>
          <w:szCs w:val="21"/>
          <w:highlight w:val="none"/>
        </w:rPr>
        <w:t>委托人</w:t>
      </w:r>
      <w:r>
        <w:rPr>
          <w:rFonts w:ascii="宋体" w:hAnsi="宋体" w:cs="宋体"/>
          <w:color w:val="auto"/>
          <w:szCs w:val="21"/>
          <w:highlight w:val="none"/>
        </w:rPr>
        <w:t>(</w:t>
      </w:r>
      <w:r>
        <w:rPr>
          <w:rFonts w:hint="eastAsia" w:ascii="宋体" w:hAnsi="宋体" w:cs="宋体"/>
          <w:color w:val="auto"/>
          <w:szCs w:val="21"/>
          <w:highlight w:val="none"/>
        </w:rPr>
        <w:t>甲方</w:t>
      </w:r>
      <w:r>
        <w:rPr>
          <w:rFonts w:ascii="宋体" w:hAnsi="宋体" w:cs="宋体"/>
          <w:color w:val="auto"/>
          <w:szCs w:val="21"/>
          <w:highlight w:val="none"/>
        </w:rPr>
        <w:t>)</w:t>
      </w:r>
      <w:r>
        <w:rPr>
          <w:rFonts w:hint="eastAsia" w:ascii="宋体" w:hAnsi="宋体" w:cs="宋体"/>
          <w:color w:val="auto"/>
          <w:szCs w:val="21"/>
          <w:highlight w:val="none"/>
        </w:rPr>
        <w:t>：</w:t>
      </w:r>
      <w:r>
        <w:rPr>
          <w:rFonts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宋体" w:cs="宋体"/>
          <w:color w:val="auto"/>
          <w:szCs w:val="21"/>
          <w:highlight w:val="none"/>
        </w:rPr>
      </w:pPr>
      <w:r>
        <w:rPr>
          <w:rFonts w:hint="eastAsia" w:ascii="宋体" w:hAnsi="宋体" w:cs="宋体"/>
          <w:color w:val="auto"/>
          <w:szCs w:val="21"/>
          <w:highlight w:val="none"/>
        </w:rPr>
        <w:t>承包人</w:t>
      </w:r>
      <w:r>
        <w:rPr>
          <w:rFonts w:ascii="宋体" w:hAnsi="宋体" w:cs="宋体"/>
          <w:color w:val="auto"/>
          <w:szCs w:val="21"/>
          <w:highlight w:val="none"/>
        </w:rPr>
        <w:t>(</w:t>
      </w:r>
      <w:r>
        <w:rPr>
          <w:rFonts w:hint="eastAsia" w:ascii="宋体" w:hAnsi="宋体" w:cs="宋体"/>
          <w:color w:val="auto"/>
          <w:szCs w:val="21"/>
          <w:highlight w:val="none"/>
        </w:rPr>
        <w:t>乙方</w:t>
      </w:r>
      <w:r>
        <w:rPr>
          <w:rFonts w:ascii="宋体" w:hAnsi="宋体" w:cs="宋体"/>
          <w:color w:val="auto"/>
          <w:szCs w:val="21"/>
          <w:highlight w:val="none"/>
        </w:rPr>
        <w:t>)</w:t>
      </w:r>
      <w:r>
        <w:rPr>
          <w:rFonts w:hint="eastAsia" w:ascii="宋体" w:hAnsi="宋体" w:cs="宋体"/>
          <w:color w:val="auto"/>
          <w:szCs w:val="21"/>
          <w:highlight w:val="none"/>
        </w:rPr>
        <w:t>：</w:t>
      </w:r>
      <w:r>
        <w:rPr>
          <w:rFonts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宋体" w:cs="宋体"/>
          <w:color w:val="auto"/>
          <w:szCs w:val="21"/>
          <w:highlight w:val="none"/>
        </w:rPr>
      </w:pPr>
      <w:r>
        <w:rPr>
          <w:rFonts w:ascii="宋体" w:hAnsi="宋体" w:cs="宋体"/>
          <w:color w:val="auto"/>
          <w:szCs w:val="21"/>
          <w:highlight w:val="none"/>
        </w:rPr>
        <w:t>为加强建设工程质量控制，依据《中华人民共和国民典法》和有关规定，</w:t>
      </w:r>
      <w:r>
        <w:rPr>
          <w:rFonts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ascii="宋体" w:hAnsi="宋体" w:cs="宋体"/>
          <w:color w:val="auto"/>
          <w:szCs w:val="21"/>
          <w:highlight w:val="none"/>
        </w:rPr>
        <w:t>（以下称甲方）委托</w:t>
      </w:r>
      <w:r>
        <w:rPr>
          <w:rFonts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ascii="宋体" w:hAnsi="宋体" w:cs="宋体"/>
          <w:color w:val="auto"/>
          <w:szCs w:val="21"/>
          <w:highlight w:val="none"/>
        </w:rPr>
        <w:t>（以下称乙方）承担</w:t>
      </w:r>
      <w:r>
        <w:rPr>
          <w:rFonts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ascii="宋体" w:hAnsi="宋体" w:cs="宋体"/>
          <w:color w:val="auto"/>
          <w:szCs w:val="21"/>
          <w:highlight w:val="none"/>
        </w:rPr>
        <w:t>项目第三方检测服务工作，经双方协商一致，签订本合同</w:t>
      </w:r>
      <w:r>
        <w:rPr>
          <w:rFonts w:hint="eastAsia" w:ascii="宋体" w:hAnsi="宋体" w:cs="宋体"/>
          <w:color w:val="auto"/>
          <w:szCs w:val="21"/>
          <w:highlight w:val="none"/>
        </w:rPr>
        <w:t>。</w:t>
      </w:r>
      <w:r>
        <w:rPr>
          <w:rFonts w:ascii="宋体" w:hAnsi="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宋体" w:hAnsi="宋体" w:cs="宋体"/>
          <w:color w:val="auto"/>
          <w:szCs w:val="21"/>
          <w:highlight w:val="none"/>
        </w:rPr>
      </w:pPr>
      <w:r>
        <w:rPr>
          <w:rFonts w:ascii="宋体" w:hAnsi="宋体" w:cs="宋体"/>
          <w:color w:val="auto"/>
          <w:szCs w:val="21"/>
          <w:highlight w:val="none"/>
        </w:rPr>
        <w:t>一、项目名称：</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120" w:beforeLines="50" w:after="120" w:afterLines="50" w:line="420" w:lineRule="exact"/>
        <w:ind w:firstLine="482" w:firstLineChars="200"/>
        <w:jc w:val="left"/>
        <w:textAlignment w:val="auto"/>
        <w:rPr>
          <w:rFonts w:hint="default" w:ascii="宋体" w:eastAsia="宋体" w:cs="宋体"/>
          <w:b/>
          <w:bCs/>
          <w:color w:val="auto"/>
          <w:sz w:val="24"/>
          <w:highlight w:val="none"/>
          <w:lang w:val="en-US" w:eastAsia="zh-CN"/>
        </w:rPr>
      </w:pPr>
      <w:r>
        <w:rPr>
          <w:rFonts w:hint="eastAsia" w:ascii="宋体" w:hAnsi="宋体" w:cs="宋体"/>
          <w:b/>
          <w:bCs/>
          <w:color w:val="auto"/>
          <w:sz w:val="24"/>
          <w:highlight w:val="none"/>
        </w:rPr>
        <w:t>二、检测内容</w:t>
      </w:r>
      <w:r>
        <w:rPr>
          <w:rFonts w:hint="eastAsia" w:ascii="宋体" w:hAnsi="宋体" w:cs="宋体"/>
          <w:b/>
          <w:bCs/>
          <w:color w:val="auto"/>
          <w:sz w:val="24"/>
          <w:highlight w:val="none"/>
          <w:lang w:val="en-US" w:eastAsia="zh-CN"/>
        </w:rPr>
        <w:t>金要求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主要内容包括（但不限于）：基坑监测、建筑物沉降观测及招标人根据实际需求增加的内容，以及其他设计、行业及国家有关现行技术规范、规程、标准规定的监测项目和甲方安排的为保障项目的质量、安全和使用的其他监测内容。</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合同履行期限：自监测合同签署之日至所监测的项目内容全部施工完毕且竣工验收合格为止，中标后5个工作日内提供经招标人认可的详细工作计划。</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1、本项目的监测包含但不限于以上监测内容, 所有监测内容均必须严格按照规范规定、设计和竣工验收的要求进行检测，并达到竣工验收条件。</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2、本项目的监测需要同时满足设计要求、相关主管部门要求、甲方要求。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3、如对相关规范、图纸理解存在争议，以甲方（监理、设计）意见为准。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对于中标人资质从业范围内无法满足该项目的监测项目，由中标机构委托（须经业主认可）具备相应能力、资质的单位完成，并出具相应的报告，但所有费用应包含在本次投标报价中，且中标人必须对所有报告负总责。</w:t>
      </w:r>
    </w:p>
    <w:p>
      <w:pPr>
        <w:keepNext w:val="0"/>
        <w:keepLines w:val="0"/>
        <w:pageBreakBefore w:val="0"/>
        <w:widowControl w:val="0"/>
        <w:kinsoku/>
        <w:wordWrap/>
        <w:overflowPunct/>
        <w:topLinePunct w:val="0"/>
        <w:autoSpaceDE/>
        <w:autoSpaceDN/>
        <w:bidi w:val="0"/>
        <w:adjustRightInd/>
        <w:snapToGrid/>
        <w:spacing w:line="420" w:lineRule="exact"/>
        <w:ind w:left="482"/>
        <w:textAlignment w:val="auto"/>
        <w:rPr>
          <w:rFonts w:hint="eastAsia" w:ascii="宋体" w:hAnsi="宋体" w:cs="宋体"/>
          <w:color w:val="auto"/>
          <w:sz w:val="24"/>
          <w:highlight w:val="none"/>
        </w:rPr>
      </w:pPr>
      <w:r>
        <w:rPr>
          <w:rFonts w:hint="eastAsia" w:ascii="宋体" w:hAnsi="宋体" w:cs="宋体"/>
          <w:b/>
          <w:color w:val="auto"/>
          <w:sz w:val="24"/>
          <w:highlight w:val="none"/>
          <w:lang w:val="en-US" w:eastAsia="zh-CN"/>
        </w:rPr>
        <w:t>三</w:t>
      </w:r>
      <w:r>
        <w:rPr>
          <w:rFonts w:hint="eastAsia" w:ascii="宋体" w:hAnsi="宋体" w:cs="宋体"/>
          <w:b/>
          <w:color w:val="auto"/>
          <w:sz w:val="24"/>
          <w:highlight w:val="none"/>
        </w:rPr>
        <w:t>、监测规范</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ascii="宋体" w:hAnsi="宋体" w:cs="宋体"/>
          <w:color w:val="auto"/>
          <w:sz w:val="21"/>
          <w:szCs w:val="21"/>
          <w:highlight w:val="none"/>
        </w:rPr>
      </w:pPr>
      <w:r>
        <w:rPr>
          <w:rFonts w:hint="eastAsia" w:ascii="宋体" w:hAnsi="宋体" w:cs="宋体"/>
          <w:color w:val="auto"/>
          <w:sz w:val="21"/>
          <w:szCs w:val="21"/>
          <w:highlight w:val="none"/>
        </w:rPr>
        <w:t>①必须严格按照国家及地方有关部门最新颁布的相关标准及规范、规定、法律条文等要求执行。按照相关施工图纸，其检测方案须满足设计要求、国家现行规范的规定，还需满足质检部门要求。</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ascii="宋体" w:hAnsi="宋体" w:cs="宋体"/>
          <w:color w:val="auto"/>
          <w:sz w:val="21"/>
          <w:szCs w:val="21"/>
          <w:highlight w:val="none"/>
        </w:rPr>
      </w:pPr>
      <w:r>
        <w:rPr>
          <w:rFonts w:hint="eastAsia" w:ascii="宋体" w:hAnsi="宋体" w:cs="宋体"/>
          <w:color w:val="auto"/>
          <w:sz w:val="21"/>
          <w:szCs w:val="21"/>
          <w:highlight w:val="none"/>
        </w:rPr>
        <w:t>②《建筑地基基础设计规程》GB50007-2002</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ascii="宋体" w:hAnsi="宋体" w:cs="宋体"/>
          <w:color w:val="auto"/>
          <w:sz w:val="21"/>
          <w:szCs w:val="21"/>
          <w:highlight w:val="none"/>
        </w:rPr>
      </w:pPr>
      <w:r>
        <w:rPr>
          <w:rFonts w:hint="eastAsia" w:ascii="宋体" w:hAnsi="宋体" w:cs="宋体"/>
          <w:color w:val="auto"/>
          <w:sz w:val="21"/>
          <w:szCs w:val="21"/>
          <w:highlight w:val="none"/>
        </w:rPr>
        <w:t>③《建筑地基处理技术规范》JGJ79-2002</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ascii="宋体" w:hAnsi="宋体" w:cs="宋体"/>
          <w:color w:val="auto"/>
          <w:sz w:val="21"/>
          <w:szCs w:val="21"/>
          <w:highlight w:val="none"/>
        </w:rPr>
      </w:pPr>
      <w:r>
        <w:rPr>
          <w:rFonts w:hint="eastAsia" w:ascii="宋体" w:hAnsi="宋体" w:cs="宋体"/>
          <w:color w:val="auto"/>
          <w:sz w:val="21"/>
          <w:szCs w:val="21"/>
          <w:highlight w:val="none"/>
        </w:rPr>
        <w:t>④《建筑地基基础工程施工质量验收规范》GB50202-2002</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ascii="宋体" w:hAnsi="宋体" w:cs="宋体"/>
          <w:color w:val="auto"/>
          <w:sz w:val="21"/>
          <w:szCs w:val="21"/>
          <w:highlight w:val="none"/>
        </w:rPr>
      </w:pPr>
      <w:r>
        <w:rPr>
          <w:rFonts w:hint="eastAsia" w:ascii="宋体" w:hAnsi="宋体" w:cs="宋体"/>
          <w:color w:val="auto"/>
          <w:sz w:val="21"/>
          <w:szCs w:val="21"/>
          <w:highlight w:val="none"/>
        </w:rPr>
        <w:t>⑤《建筑变形测量规范》（JCJ8-20</w:t>
      </w:r>
      <w:r>
        <w:rPr>
          <w:rFonts w:ascii="宋体" w:hAnsi="宋体" w:cs="宋体"/>
          <w:color w:val="auto"/>
          <w:sz w:val="21"/>
          <w:szCs w:val="21"/>
          <w:highlight w:val="none"/>
        </w:rPr>
        <w:t>16</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ascii="宋体" w:hAnsi="宋体" w:cs="宋体"/>
          <w:color w:val="auto"/>
          <w:sz w:val="21"/>
          <w:szCs w:val="21"/>
          <w:highlight w:val="none"/>
        </w:rPr>
      </w:pPr>
      <w:r>
        <w:rPr>
          <w:rFonts w:hint="eastAsia" w:ascii="宋体" w:hAnsi="宋体" w:cs="宋体"/>
          <w:color w:val="auto"/>
          <w:sz w:val="21"/>
          <w:szCs w:val="21"/>
          <w:highlight w:val="none"/>
        </w:rPr>
        <w:t>⑥满足基坑变形监测和建筑物沉降观测相关技术规范和验收要求。</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hint="eastAsia" w:ascii="宋体" w:hAnsi="宋体" w:cs="宋体"/>
          <w:b/>
          <w:color w:val="auto"/>
          <w:sz w:val="24"/>
          <w:highlight w:val="none"/>
        </w:rPr>
      </w:pP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、基坑监测内容：</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b/>
          <w:bCs/>
          <w:color w:val="auto"/>
          <w:sz w:val="21"/>
          <w:szCs w:val="21"/>
          <w:highlight w:val="none"/>
        </w:rPr>
      </w:pPr>
      <w:r>
        <w:rPr>
          <w:rFonts w:hint="eastAsia" w:ascii="宋体" w:hAnsi="宋体" w:cs="宋体"/>
          <w:color w:val="auto"/>
          <w:sz w:val="21"/>
          <w:szCs w:val="21"/>
          <w:highlight w:val="none"/>
        </w:rPr>
        <w:t>详见设计施工图纸。</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监测内容（供参考）：</w:t>
      </w:r>
    </w:p>
    <w:p>
      <w:pPr>
        <w:keepNext w:val="0"/>
        <w:keepLines w:val="0"/>
        <w:pageBreakBefore w:val="0"/>
        <w:widowControl w:val="0"/>
        <w:kinsoku/>
        <w:wordWrap/>
        <w:overflowPunct/>
        <w:topLinePunct w:val="0"/>
        <w:autoSpaceDE/>
        <w:autoSpaceDN/>
        <w:bidi w:val="0"/>
        <w:adjustRightInd/>
        <w:snapToGrid/>
        <w:spacing w:line="420" w:lineRule="exact"/>
        <w:ind w:left="630" w:leftChars="3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1﹑支护结构顶部竖向位移监测；</w:t>
      </w:r>
    </w:p>
    <w:p>
      <w:pPr>
        <w:keepNext w:val="0"/>
        <w:keepLines w:val="0"/>
        <w:pageBreakBefore w:val="0"/>
        <w:widowControl w:val="0"/>
        <w:kinsoku/>
        <w:wordWrap/>
        <w:overflowPunct/>
        <w:topLinePunct w:val="0"/>
        <w:autoSpaceDE/>
        <w:autoSpaceDN/>
        <w:bidi w:val="0"/>
        <w:adjustRightInd/>
        <w:snapToGrid/>
        <w:spacing w:line="420" w:lineRule="exact"/>
        <w:ind w:left="630" w:leftChars="3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2﹑支护结构顶部水平位移监测；</w:t>
      </w:r>
    </w:p>
    <w:p>
      <w:pPr>
        <w:keepNext w:val="0"/>
        <w:keepLines w:val="0"/>
        <w:pageBreakBefore w:val="0"/>
        <w:widowControl w:val="0"/>
        <w:kinsoku/>
        <w:wordWrap/>
        <w:overflowPunct/>
        <w:topLinePunct w:val="0"/>
        <w:autoSpaceDE/>
        <w:autoSpaceDN/>
        <w:bidi w:val="0"/>
        <w:adjustRightInd/>
        <w:snapToGrid/>
        <w:spacing w:line="420" w:lineRule="exact"/>
        <w:ind w:left="630" w:leftChars="3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3﹑深层水平位移监测；</w:t>
      </w:r>
    </w:p>
    <w:p>
      <w:pPr>
        <w:keepNext w:val="0"/>
        <w:keepLines w:val="0"/>
        <w:pageBreakBefore w:val="0"/>
        <w:widowControl w:val="0"/>
        <w:kinsoku/>
        <w:wordWrap/>
        <w:overflowPunct/>
        <w:topLinePunct w:val="0"/>
        <w:autoSpaceDE/>
        <w:autoSpaceDN/>
        <w:bidi w:val="0"/>
        <w:adjustRightInd/>
        <w:snapToGrid/>
        <w:spacing w:line="420" w:lineRule="exact"/>
        <w:ind w:left="630" w:leftChars="3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4﹑周边地表竖向位移监测；</w:t>
      </w:r>
    </w:p>
    <w:p>
      <w:pPr>
        <w:keepNext w:val="0"/>
        <w:keepLines w:val="0"/>
        <w:pageBreakBefore w:val="0"/>
        <w:widowControl w:val="0"/>
        <w:kinsoku/>
        <w:wordWrap/>
        <w:overflowPunct/>
        <w:topLinePunct w:val="0"/>
        <w:autoSpaceDE/>
        <w:autoSpaceDN/>
        <w:bidi w:val="0"/>
        <w:adjustRightInd/>
        <w:snapToGrid/>
        <w:spacing w:line="420" w:lineRule="exact"/>
        <w:ind w:left="630" w:leftChars="3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5﹑周边建筑竖向位移；</w:t>
      </w:r>
    </w:p>
    <w:p>
      <w:pPr>
        <w:keepNext w:val="0"/>
        <w:keepLines w:val="0"/>
        <w:pageBreakBefore w:val="0"/>
        <w:widowControl w:val="0"/>
        <w:kinsoku/>
        <w:wordWrap/>
        <w:overflowPunct/>
        <w:topLinePunct w:val="0"/>
        <w:autoSpaceDE/>
        <w:autoSpaceDN/>
        <w:bidi w:val="0"/>
        <w:adjustRightInd/>
        <w:snapToGrid/>
        <w:spacing w:line="420" w:lineRule="exact"/>
        <w:ind w:left="630" w:leftChars="3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6﹑周边管线变形监测；</w:t>
      </w:r>
    </w:p>
    <w:p>
      <w:pPr>
        <w:keepNext w:val="0"/>
        <w:keepLines w:val="0"/>
        <w:pageBreakBefore w:val="0"/>
        <w:widowControl w:val="0"/>
        <w:kinsoku/>
        <w:wordWrap/>
        <w:overflowPunct/>
        <w:topLinePunct w:val="0"/>
        <w:autoSpaceDE/>
        <w:autoSpaceDN/>
        <w:bidi w:val="0"/>
        <w:adjustRightInd/>
        <w:snapToGrid/>
        <w:spacing w:line="420" w:lineRule="exact"/>
        <w:ind w:left="630" w:leftChars="3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7﹑周边地表裂缝监测。</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hint="eastAsia" w:ascii="宋体" w:hAnsi="宋体" w:cs="宋体"/>
          <w:b/>
          <w:color w:val="auto"/>
          <w:sz w:val="24"/>
          <w:highlight w:val="none"/>
        </w:rPr>
      </w:pP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、基坑监测制度</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基坑施工之前，监测单位须制定监测方案，监测方案必须经过设计单位审定。</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 xml:space="preserve"> 监测方案应包括监测项目、监测方法、监测点布置、监测频率、监测时段、报警值、监测结果的分析要求及信息反馈系统等。</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基坑施工过程中，监测单位对基坑、支护构件、周围建（构）筑物、道路、地下管线等设施进行动态监测的结果，必须作出分析，监测分析报告经监测人、监测项目负责人、监测单位技术负责人签字确认，提供施工、监理、设计、招标人。</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基坑监测结果报告必须包括监测项目、允许值、报警值、数据分析、变形—时间曲线、以及监测结果评述。</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 xml:space="preserve"> 监测数据接近或超过报警值时，监测单位应及时向工程参建关各方报告和安监站报告。若出现险情，监测单位首先口头报告再作书面报告签字确认，招标人必须及时组织有关各方采取应急措施和抢险。</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、基坑监测项目、测点布置和监测要求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基坑监测项目、测点布置、精度要求和报警值必须符合有关规范规定和设计文件要求。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基坑监测项目：支护结构顶部竖向位移监测；支护结构顶部水平位移监测；深层水平位移监测；周边地表竖向位移监测；周边建筑竖向位移；周边管线变形监测；周边地表裂缝监测。。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测点布置：各监测项目的基准点须布置在基坑工程影响范围以外的稳固的基础上，距离基坑边不得小于3～5倍基坑开挖深度，测点密度必须满足规定要求。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监测频率：在土方开挖期间对于基坑边坡土体顶部水平位移、和支护结构侧移必须每2天观测不少于一次。当基坑开挖深度增大、连续降雨或发现变形发展较大时，必须加大监测频率；当变形急剧发展或出现破坏预兆时，必须对变形连续监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监测时限：监测工作必须从基坑开挖之前进行，直至完成地下室结构施工至±0.000和基坑与地下室外墙之间的空隙回填，但对于基坑工程影响范围内的建（构）筑物、道路的变形监测应适当延长。</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监测预警值：各监测项目的预警值由招标人组织设计、监理、施工、监测单位根据有关规范并结合基坑开挖深度、周边环境特点有针对性地设定，包括总量控制和增量控制。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监测数据的分析和反馈。监测单位对所测各项目数据应进行分析，包括总量和增量变化，对可能的变化趋势进行预测并作出警示。监测成果资料应及时反馈，对于异常情况首先口头通知后立即以书面报告形式通知并签字确认。</w:t>
      </w:r>
    </w:p>
    <w:p>
      <w:pPr>
        <w:keepNext w:val="0"/>
        <w:keepLines w:val="0"/>
        <w:pageBreakBefore w:val="0"/>
        <w:widowControl w:val="0"/>
        <w:kinsoku/>
        <w:wordWrap/>
        <w:overflowPunct/>
        <w:topLinePunct w:val="0"/>
        <w:autoSpaceDE/>
        <w:autoSpaceDN/>
        <w:bidi w:val="0"/>
        <w:adjustRightInd/>
        <w:snapToGrid/>
        <w:spacing w:line="420" w:lineRule="exact"/>
        <w:ind w:firstLine="472" w:firstLineChars="196"/>
        <w:textAlignment w:val="auto"/>
        <w:rPr>
          <w:rFonts w:hint="eastAsia" w:ascii="宋体" w:hAnsi="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、质量标准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投标人应按照国家行业标准《建筑变形测量规范》（JGJ8-2016）和安徽省有关规定</w:t>
      </w:r>
      <w:r>
        <w:rPr>
          <w:rFonts w:hint="eastAsia" w:ascii="宋体" w:hAnsi="宋体" w:eastAsia="宋体" w:cs="宋体"/>
          <w:color w:val="auto"/>
          <w:sz w:val="21"/>
          <w:szCs w:val="21"/>
          <w:highlight w:val="none"/>
        </w:rPr>
        <w:t>强制性标准及施工图设计要求</w:t>
      </w:r>
      <w:r>
        <w:rPr>
          <w:rFonts w:hint="eastAsia" w:ascii="宋体" w:hAnsi="宋体" w:eastAsia="宋体" w:cs="宋体"/>
          <w:snapToGrid w:val="0"/>
          <w:color w:val="auto"/>
          <w:sz w:val="21"/>
          <w:szCs w:val="21"/>
          <w:highlight w:val="none"/>
        </w:rPr>
        <w:t>进行沉降观测工作。</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投标人的测量成果须同时满足国家、省市标准、行业标准及招标人技术要求，当上述标准要求不一致时，以要求高者为准。</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投标人须保证测量完成后按时出具完整的基坑监测及建筑物沉降观测报告，并保证报告符合规范的要求及建设行政主管部门验收要求，确保竣工验收备案通过。</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宋体" w:hAnsi="宋体" w:cs="宋体"/>
          <w:b/>
          <w:bCs/>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w:t>
      </w:r>
      <w:r>
        <w:rPr>
          <w:rFonts w:hint="eastAsia" w:ascii="宋体" w:hAnsi="宋体" w:cs="宋体"/>
          <w:b/>
          <w:bCs/>
          <w:color w:val="auto"/>
          <w:sz w:val="24"/>
          <w:highlight w:val="none"/>
        </w:rPr>
        <w:t>建筑沉降观测要求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观测点布置：（详见设计图纸）</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观测频率：在施工期间每完成一层测读一次，主体结构封顶后每一个月一次；竣工后每一季度一次；竣工一年后每半年一次直至沉降稳定为止。当建筑沉降观测过程中出现《建筑变形测量规程》JGJ8,第3.0.11条所列情况之一时，必须立即报告委托方，同时应及时增加观测次数或调整变形测量方案。</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cs="宋体"/>
          <w:color w:val="auto"/>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沉降稳定标准：连续二次半年沉降量不大于2mm。</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cs="宋体"/>
          <w:color w:val="auto"/>
          <w:szCs w:val="21"/>
          <w:highlight w:val="none"/>
        </w:rPr>
      </w:pPr>
      <w:r>
        <w:rPr>
          <w:rFonts w:hint="eastAsia"/>
          <w:color w:val="auto"/>
          <w:highlight w:val="none"/>
          <w:lang w:val="en-US" w:eastAsia="zh-CN"/>
        </w:rPr>
        <w:t>八</w:t>
      </w:r>
      <w:r>
        <w:rPr>
          <w:color w:val="auto"/>
          <w:highlight w:val="none"/>
        </w:rPr>
        <w:t>、 合同价格</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cs="宋体"/>
          <w:color w:val="auto"/>
          <w:szCs w:val="21"/>
          <w:highlight w:val="none"/>
        </w:rPr>
      </w:pPr>
      <w:r>
        <w:rPr>
          <w:rFonts w:hint="eastAsia" w:ascii="宋体" w:cs="宋体"/>
          <w:color w:val="auto"/>
          <w:szCs w:val="21"/>
          <w:highlight w:val="none"/>
        </w:rPr>
        <w:t>本项目合同价格为固定</w:t>
      </w:r>
      <w:r>
        <w:rPr>
          <w:rFonts w:hint="eastAsia" w:ascii="宋体" w:cs="宋体"/>
          <w:color w:val="auto"/>
          <w:szCs w:val="21"/>
          <w:highlight w:val="none"/>
          <w:lang w:val="en-US" w:eastAsia="zh-CN"/>
        </w:rPr>
        <w:t>总价</w:t>
      </w:r>
      <w:r>
        <w:rPr>
          <w:rFonts w:hint="eastAsia" w:ascii="宋体" w:cs="宋体"/>
          <w:color w:val="auto"/>
          <w:szCs w:val="21"/>
          <w:highlight w:val="none"/>
        </w:rPr>
        <w:t>合同，无论任何检测</w:t>
      </w:r>
      <w:r>
        <w:rPr>
          <w:rFonts w:hint="eastAsia" w:ascii="宋体" w:cs="宋体"/>
          <w:color w:val="auto"/>
          <w:szCs w:val="21"/>
          <w:highlight w:val="none"/>
          <w:lang w:eastAsia="zh-CN"/>
        </w:rPr>
        <w:t>（</w:t>
      </w:r>
      <w:r>
        <w:rPr>
          <w:rFonts w:hint="eastAsia" w:ascii="宋体" w:cs="宋体"/>
          <w:color w:val="auto"/>
          <w:szCs w:val="21"/>
          <w:highlight w:val="none"/>
          <w:lang w:val="en-US" w:eastAsia="zh-CN"/>
        </w:rPr>
        <w:t>监测</w:t>
      </w:r>
      <w:r>
        <w:rPr>
          <w:rFonts w:hint="eastAsia" w:ascii="宋体" w:cs="宋体"/>
          <w:color w:val="auto"/>
          <w:szCs w:val="21"/>
          <w:highlight w:val="none"/>
          <w:lang w:eastAsia="zh-CN"/>
        </w:rPr>
        <w:t>）</w:t>
      </w:r>
      <w:r>
        <w:rPr>
          <w:rFonts w:hint="eastAsia" w:ascii="宋体" w:cs="宋体"/>
          <w:color w:val="auto"/>
          <w:szCs w:val="21"/>
          <w:highlight w:val="none"/>
        </w:rPr>
        <w:t>项目均不在额外支付费用。合同</w:t>
      </w:r>
      <w:r>
        <w:rPr>
          <w:rFonts w:hint="eastAsia" w:ascii="宋体" w:cs="宋体"/>
          <w:color w:val="auto"/>
          <w:szCs w:val="21"/>
          <w:highlight w:val="none"/>
          <w:lang w:val="en-US" w:eastAsia="zh-CN"/>
        </w:rPr>
        <w:t>总价</w:t>
      </w:r>
      <w:r>
        <w:rPr>
          <w:rFonts w:hint="eastAsia" w:ascii="宋体" w:cs="宋体"/>
          <w:color w:val="auto"/>
          <w:szCs w:val="21"/>
          <w:highlight w:val="none"/>
        </w:rPr>
        <w:t>为：</w:t>
      </w:r>
      <w:r>
        <w:rPr>
          <w:rFonts w:hint="eastAsia" w:ascii="宋体" w:cs="宋体"/>
          <w:color w:val="auto"/>
          <w:szCs w:val="21"/>
          <w:highlight w:val="none"/>
          <w:u w:val="single"/>
        </w:rPr>
        <w:tab/>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cs="宋体"/>
          <w:color w:val="auto"/>
          <w:szCs w:val="21"/>
          <w:highlight w:val="none"/>
        </w:rPr>
      </w:pPr>
      <w:r>
        <w:rPr>
          <w:rFonts w:hint="eastAsia" w:ascii="宋体" w:cs="宋体"/>
          <w:color w:val="auto"/>
          <w:szCs w:val="21"/>
          <w:highlight w:val="none"/>
          <w:lang w:val="en-US" w:eastAsia="zh-CN"/>
        </w:rPr>
        <w:t>九</w:t>
      </w:r>
      <w:r>
        <w:rPr>
          <w:rFonts w:hint="eastAsia" w:ascii="宋体" w:cs="宋体"/>
          <w:color w:val="auto"/>
          <w:szCs w:val="21"/>
          <w:highlight w:val="none"/>
          <w:lang w:eastAsia="zh-CN"/>
        </w:rPr>
        <w:t>、</w:t>
      </w:r>
      <w:r>
        <w:rPr>
          <w:rFonts w:ascii="宋体" w:cs="宋体"/>
          <w:color w:val="auto"/>
          <w:szCs w:val="21"/>
          <w:highlight w:val="none"/>
        </w:rPr>
        <w:t xml:space="preserve"> 付款方式：</w:t>
      </w:r>
      <w:r>
        <w:rPr>
          <w:rFonts w:hint="eastAsia" w:ascii="宋体" w:cs="宋体"/>
          <w:color w:val="auto"/>
          <w:szCs w:val="21"/>
          <w:highlight w:val="none"/>
        </w:rPr>
        <w:t>自监测合同签署之日至所监测的项目内容全部施工完毕且竣工验收合格为止。中标后3个工作日内提供经招标人认可的详细工作计划。</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color w:val="auto"/>
          <w:highlight w:val="none"/>
        </w:rPr>
      </w:pPr>
      <w:r>
        <w:rPr>
          <w:color w:val="auto"/>
          <w:highlight w:val="none"/>
        </w:rPr>
        <w:t>十</w:t>
      </w:r>
      <w:r>
        <w:rPr>
          <w:rFonts w:hint="eastAsia"/>
          <w:color w:val="auto"/>
          <w:highlight w:val="none"/>
          <w:lang w:val="en-US" w:eastAsia="zh-CN"/>
        </w:rPr>
        <w:t>、</w:t>
      </w:r>
      <w:r>
        <w:rPr>
          <w:color w:val="auto"/>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cs="宋体"/>
          <w:color w:val="auto"/>
          <w:szCs w:val="21"/>
          <w:highlight w:val="none"/>
        </w:rPr>
      </w:pPr>
      <w:r>
        <w:rPr>
          <w:rFonts w:ascii="宋体" w:cs="宋体"/>
          <w:color w:val="auto"/>
          <w:szCs w:val="21"/>
          <w:highlight w:val="none"/>
        </w:rPr>
        <w:t>本合同在履行过程中发生争议，双方应协商解决，协商不成的，双方当事可向</w:t>
      </w:r>
      <w:r>
        <w:rPr>
          <w:rFonts w:ascii="宋体" w:cs="宋体"/>
          <w:color w:val="auto"/>
          <w:szCs w:val="21"/>
          <w:highlight w:val="none"/>
          <w:u w:val="single"/>
        </w:rPr>
        <w:tab/>
      </w:r>
      <w:r>
        <w:rPr>
          <w:rFonts w:ascii="宋体" w:cs="宋体"/>
          <w:color w:val="auto"/>
          <w:szCs w:val="21"/>
          <w:highlight w:val="none"/>
        </w:rPr>
        <w:t>人民法院起诉。</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cs="宋体"/>
          <w:color w:val="auto"/>
          <w:szCs w:val="21"/>
          <w:highlight w:val="none"/>
        </w:rPr>
      </w:pPr>
      <w:r>
        <w:rPr>
          <w:rFonts w:hint="eastAsia" w:ascii="宋体" w:cs="宋体"/>
          <w:color w:val="auto"/>
          <w:szCs w:val="21"/>
          <w:highlight w:val="none"/>
        </w:rPr>
        <w:t>本合同一式</w:t>
      </w:r>
      <w:r>
        <w:rPr>
          <w:rFonts w:hint="eastAsia" w:ascii="宋体" w:cs="宋体"/>
          <w:color w:val="auto"/>
          <w:szCs w:val="21"/>
          <w:highlight w:val="none"/>
          <w:u w:val="single"/>
        </w:rPr>
        <w:tab/>
      </w:r>
      <w:r>
        <w:rPr>
          <w:rFonts w:hint="eastAsia" w:ascii="宋体" w:cs="宋体"/>
          <w:color w:val="auto"/>
          <w:szCs w:val="21"/>
          <w:highlight w:val="none"/>
          <w:u w:val="single"/>
        </w:rPr>
        <w:t xml:space="preserve"> </w:t>
      </w:r>
      <w:r>
        <w:rPr>
          <w:rFonts w:hint="eastAsia" w:ascii="宋体" w:cs="宋体"/>
          <w:color w:val="auto"/>
          <w:szCs w:val="21"/>
          <w:highlight w:val="none"/>
        </w:rPr>
        <w:t>份，由甲执</w:t>
      </w:r>
      <w:r>
        <w:rPr>
          <w:rFonts w:hint="eastAsia" w:ascii="宋体" w:cs="宋体"/>
          <w:color w:val="auto"/>
          <w:szCs w:val="21"/>
          <w:highlight w:val="none"/>
          <w:u w:val="single"/>
        </w:rPr>
        <w:t xml:space="preserve">  </w:t>
      </w:r>
      <w:r>
        <w:rPr>
          <w:rFonts w:hint="eastAsia" w:ascii="宋体" w:cs="宋体"/>
          <w:color w:val="auto"/>
          <w:szCs w:val="21"/>
          <w:highlight w:val="none"/>
          <w:u w:val="single"/>
        </w:rPr>
        <w:tab/>
      </w:r>
      <w:r>
        <w:rPr>
          <w:rFonts w:hint="eastAsia" w:ascii="宋体" w:cs="宋体"/>
          <w:color w:val="auto"/>
          <w:szCs w:val="21"/>
          <w:highlight w:val="none"/>
        </w:rPr>
        <w:t>份，乙执</w:t>
      </w:r>
      <w:r>
        <w:rPr>
          <w:rFonts w:hint="eastAsia" w:ascii="宋体" w:cs="宋体"/>
          <w:color w:val="auto"/>
          <w:szCs w:val="21"/>
          <w:highlight w:val="none"/>
          <w:u w:val="single"/>
        </w:rPr>
        <w:t xml:space="preserve"> </w:t>
      </w:r>
      <w:r>
        <w:rPr>
          <w:rFonts w:hint="eastAsia" w:ascii="宋体" w:cs="宋体"/>
          <w:color w:val="auto"/>
          <w:szCs w:val="21"/>
          <w:highlight w:val="none"/>
          <w:u w:val="single"/>
        </w:rPr>
        <w:tab/>
      </w:r>
      <w:r>
        <w:rPr>
          <w:rFonts w:hint="eastAsia" w:ascii="宋体" w:cs="宋体"/>
          <w:color w:val="auto"/>
          <w:szCs w:val="21"/>
          <w:highlight w:val="none"/>
        </w:rPr>
        <w:t>份。</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cs="宋体"/>
          <w:color w:val="auto"/>
          <w:szCs w:val="21"/>
          <w:highlight w:val="none"/>
        </w:rPr>
      </w:pPr>
      <w:r>
        <w:rPr>
          <w:rFonts w:hint="eastAsia" w:ascii="宋体" w:cs="宋体"/>
          <w:color w:val="auto"/>
          <w:szCs w:val="21"/>
          <w:highlight w:val="none"/>
        </w:rPr>
        <w:t>本合同未尽事宜，双方可签订补充协议，有关协议及双方认可的来往电报、传真、会议纪要等， 均为本合同组成部分。</w:t>
      </w:r>
    </w:p>
    <w:p>
      <w:pPr>
        <w:spacing w:line="440" w:lineRule="exact"/>
        <w:ind w:firstLine="420" w:firstLineChars="200"/>
        <w:rPr>
          <w:rFonts w:ascii="宋体" w:cs="宋体"/>
          <w:color w:val="auto"/>
          <w:szCs w:val="21"/>
          <w:highlight w:val="none"/>
        </w:rPr>
      </w:pPr>
    </w:p>
    <w:p>
      <w:pPr>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rPr>
        <w:t>委托人：</w:t>
      </w:r>
      <w:r>
        <w:rPr>
          <w:rFonts w:ascii="宋体" w:hAnsi="宋体" w:cs="宋体"/>
          <w:color w:val="auto"/>
          <w:szCs w:val="21"/>
          <w:highlight w:val="none"/>
        </w:rPr>
        <w:t>(</w:t>
      </w:r>
      <w:r>
        <w:rPr>
          <w:rFonts w:hint="eastAsia" w:ascii="宋体" w:hAnsi="宋体" w:cs="宋体"/>
          <w:color w:val="auto"/>
          <w:szCs w:val="21"/>
          <w:highlight w:val="none"/>
        </w:rPr>
        <w:t>盖章</w:t>
      </w:r>
      <w:r>
        <w:rPr>
          <w:rFonts w:ascii="宋体" w:hAnsi="宋体" w:cs="宋体"/>
          <w:color w:val="auto"/>
          <w:szCs w:val="21"/>
          <w:highlight w:val="none"/>
        </w:rPr>
        <w:t xml:space="preserve">)                                     </w:t>
      </w:r>
      <w:r>
        <w:rPr>
          <w:rFonts w:hint="eastAsia" w:ascii="宋体" w:hAnsi="宋体" w:cs="宋体"/>
          <w:color w:val="auto"/>
          <w:szCs w:val="21"/>
          <w:highlight w:val="none"/>
        </w:rPr>
        <w:t>承包人：</w:t>
      </w:r>
      <w:r>
        <w:rPr>
          <w:rFonts w:ascii="宋体" w:hAnsi="宋体" w:cs="宋体"/>
          <w:color w:val="auto"/>
          <w:szCs w:val="21"/>
          <w:highlight w:val="none"/>
        </w:rPr>
        <w:t>(</w:t>
      </w:r>
      <w:r>
        <w:rPr>
          <w:rFonts w:hint="eastAsia" w:ascii="宋体" w:hAnsi="宋体" w:cs="宋体"/>
          <w:color w:val="auto"/>
          <w:szCs w:val="21"/>
          <w:highlight w:val="none"/>
        </w:rPr>
        <w:t>盖章</w:t>
      </w:r>
      <w:r>
        <w:rPr>
          <w:rFonts w:ascii="宋体" w:hAnsi="宋体" w:cs="宋体"/>
          <w:color w:val="auto"/>
          <w:szCs w:val="21"/>
          <w:highlight w:val="none"/>
        </w:rPr>
        <w:t>)</w:t>
      </w:r>
    </w:p>
    <w:p>
      <w:pPr>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rPr>
        <w:t>法定代表人</w:t>
      </w:r>
      <w:r>
        <w:rPr>
          <w:rFonts w:ascii="宋体" w:hAnsi="宋体" w:cs="宋体"/>
          <w:color w:val="auto"/>
          <w:szCs w:val="21"/>
          <w:highlight w:val="none"/>
        </w:rPr>
        <w:t xml:space="preserve">                                          </w:t>
      </w:r>
      <w:r>
        <w:rPr>
          <w:rFonts w:hint="eastAsia" w:ascii="宋体" w:hAnsi="宋体" w:cs="宋体"/>
          <w:color w:val="auto"/>
          <w:szCs w:val="21"/>
          <w:highlight w:val="none"/>
        </w:rPr>
        <w:t>法定代表人</w:t>
      </w:r>
    </w:p>
    <w:p>
      <w:pPr>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rPr>
        <w:t>或授权代理人：</w:t>
      </w:r>
      <w:r>
        <w:rPr>
          <w:rFonts w:ascii="宋体" w:hAnsi="宋体" w:cs="宋体"/>
          <w:color w:val="auto"/>
          <w:szCs w:val="21"/>
          <w:highlight w:val="none"/>
        </w:rPr>
        <w:t xml:space="preserve">                                      </w:t>
      </w:r>
      <w:r>
        <w:rPr>
          <w:rFonts w:hint="eastAsia" w:ascii="宋体" w:hAnsi="宋体" w:cs="宋体"/>
          <w:color w:val="auto"/>
          <w:szCs w:val="21"/>
          <w:highlight w:val="none"/>
        </w:rPr>
        <w:t>或授权代理人：</w:t>
      </w:r>
    </w:p>
    <w:p>
      <w:pPr>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rPr>
        <w:t>地址：</w:t>
      </w:r>
      <w:r>
        <w:rPr>
          <w:rFonts w:ascii="宋体" w:hAnsi="宋体" w:cs="宋体"/>
          <w:color w:val="auto"/>
          <w:szCs w:val="21"/>
          <w:highlight w:val="none"/>
        </w:rPr>
        <w:t xml:space="preserve">                                              </w:t>
      </w:r>
      <w:r>
        <w:rPr>
          <w:rFonts w:hint="eastAsia" w:ascii="宋体" w:hAnsi="宋体" w:cs="宋体"/>
          <w:color w:val="auto"/>
          <w:szCs w:val="21"/>
          <w:highlight w:val="none"/>
        </w:rPr>
        <w:t>地址：</w:t>
      </w:r>
    </w:p>
    <w:p>
      <w:pPr>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rPr>
        <w:t>邮编：</w:t>
      </w:r>
      <w:r>
        <w:rPr>
          <w:rFonts w:ascii="宋体" w:hAnsi="宋体" w:cs="宋体"/>
          <w:color w:val="auto"/>
          <w:szCs w:val="21"/>
          <w:highlight w:val="none"/>
        </w:rPr>
        <w:t xml:space="preserve">                                               </w:t>
      </w:r>
      <w:r>
        <w:rPr>
          <w:rFonts w:hint="eastAsia" w:ascii="宋体" w:hAnsi="宋体" w:cs="宋体"/>
          <w:color w:val="auto"/>
          <w:szCs w:val="21"/>
          <w:highlight w:val="none"/>
        </w:rPr>
        <w:t>邮编：</w:t>
      </w:r>
    </w:p>
    <w:p>
      <w:pPr>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cs="宋体"/>
          <w:color w:val="auto"/>
          <w:szCs w:val="21"/>
          <w:highlight w:val="none"/>
        </w:rPr>
        <w:t>电话：</w:t>
      </w:r>
      <w:r>
        <w:rPr>
          <w:rFonts w:ascii="宋体" w:hAnsi="宋体" w:cs="宋体"/>
          <w:color w:val="auto"/>
          <w:szCs w:val="21"/>
          <w:highlight w:val="none"/>
        </w:rPr>
        <w:t xml:space="preserve">                                               </w:t>
      </w:r>
      <w:r>
        <w:rPr>
          <w:rFonts w:hint="eastAsia" w:ascii="宋体" w:hAnsi="宋体" w:cs="宋体"/>
          <w:color w:val="auto"/>
          <w:szCs w:val="21"/>
          <w:highlight w:val="none"/>
        </w:rPr>
        <w:t>电话：</w:t>
      </w:r>
      <w:bookmarkStart w:id="13" w:name="_Toc31238"/>
    </w:p>
    <w:p>
      <w:pPr>
        <w:rPr>
          <w:rFonts w:hint="eastAsia"/>
          <w:color w:val="auto"/>
          <w:highlight w:val="none"/>
          <w:lang w:val="en-US" w:eastAsia="zh-CN"/>
        </w:rPr>
      </w:pPr>
    </w:p>
    <w:p>
      <w:pPr>
        <w:pStyle w:val="2"/>
        <w:spacing w:before="0" w:after="0"/>
        <w:rPr>
          <w:rFonts w:hint="eastAsia" w:ascii="宋体" w:hAnsi="宋体" w:eastAsia="宋体" w:cs="宋体"/>
          <w:color w:val="auto"/>
          <w:highlight w:val="none"/>
          <w:lang w:val="en-US" w:eastAsia="zh-CN"/>
        </w:rPr>
      </w:pPr>
    </w:p>
    <w:p>
      <w:pPr>
        <w:pStyle w:val="2"/>
        <w:spacing w:before="0" w:after="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第五章投标文件格式</w:t>
      </w:r>
      <w:bookmarkEnd w:id="13"/>
    </w:p>
    <w:p>
      <w:pPr>
        <w:jc w:val="center"/>
        <w:rPr>
          <w:rFonts w:ascii="仿宋" w:hAnsi="仿宋" w:eastAsia="仿宋" w:cs="仿宋"/>
          <w:color w:val="auto"/>
          <w:sz w:val="20"/>
          <w:szCs w:val="20"/>
          <w:highlight w:val="none"/>
        </w:rPr>
      </w:pP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jc w:val="center"/>
        <w:rPr>
          <w:rFonts w:ascii="仿宋" w:hAnsi="仿宋" w:eastAsia="仿宋" w:cs="仿宋"/>
          <w:color w:val="auto"/>
          <w:sz w:val="20"/>
          <w:szCs w:val="20"/>
          <w:highlight w:val="none"/>
        </w:rPr>
      </w:pPr>
    </w:p>
    <w:p>
      <w:pPr>
        <w:jc w:val="center"/>
        <w:rPr>
          <w:rFonts w:ascii="仿宋" w:hAnsi="仿宋" w:eastAsia="仿宋" w:cs="仿宋"/>
          <w:color w:val="auto"/>
          <w:sz w:val="20"/>
          <w:szCs w:val="20"/>
          <w:highlight w:val="none"/>
        </w:rPr>
      </w:pPr>
    </w:p>
    <w:p>
      <w:pPr>
        <w:jc w:val="center"/>
        <w:rPr>
          <w:rFonts w:ascii="仿宋" w:hAnsi="仿宋" w:eastAsia="仿宋" w:cs="仿宋"/>
          <w:color w:val="auto"/>
          <w:sz w:val="20"/>
          <w:szCs w:val="20"/>
          <w:highlight w:val="none"/>
        </w:rPr>
      </w:pPr>
    </w:p>
    <w:p>
      <w:pPr>
        <w:rPr>
          <w:rFonts w:ascii="仿宋" w:hAnsi="仿宋" w:eastAsia="仿宋" w:cs="仿宋"/>
          <w:color w:val="auto"/>
          <w:sz w:val="20"/>
          <w:szCs w:val="20"/>
          <w:highlight w:val="none"/>
        </w:rPr>
      </w:pPr>
    </w:p>
    <w:p>
      <w:pPr>
        <w:jc w:val="center"/>
        <w:rPr>
          <w:rFonts w:hint="eastAsia" w:ascii="仿宋" w:hAnsi="仿宋" w:eastAsia="仿宋" w:cs="仿宋"/>
          <w:color w:val="auto"/>
          <w:sz w:val="44"/>
          <w:szCs w:val="44"/>
          <w:highlight w:val="none"/>
          <w:lang w:val="en-US" w:eastAsia="zh-CN"/>
        </w:rPr>
      </w:pPr>
      <w:r>
        <w:rPr>
          <w:rFonts w:hint="eastAsia" w:ascii="仿宋" w:hAnsi="仿宋" w:eastAsia="仿宋" w:cs="仿宋"/>
          <w:color w:val="auto"/>
          <w:sz w:val="44"/>
          <w:szCs w:val="44"/>
          <w:highlight w:val="none"/>
          <w:lang w:val="en-US" w:eastAsia="zh-CN"/>
        </w:rPr>
        <w:t>投标文件一</w:t>
      </w:r>
    </w:p>
    <w:p>
      <w:pPr>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lang w:val="en-US" w:eastAsia="zh-CN"/>
        </w:rPr>
        <w:t>资格证明材料</w:t>
      </w:r>
      <w:r>
        <w:rPr>
          <w:rFonts w:ascii="仿宋" w:hAnsi="仿宋" w:eastAsia="仿宋" w:cs="仿宋"/>
          <w:color w:val="auto"/>
          <w:sz w:val="44"/>
          <w:szCs w:val="44"/>
          <w:highlight w:val="none"/>
        </w:rPr>
        <w:t xml:space="preserve"> </w:t>
      </w:r>
    </w:p>
    <w:p>
      <w:pPr>
        <w:jc w:val="center"/>
        <w:rPr>
          <w:rFonts w:ascii="仿宋" w:hAnsi="仿宋" w:eastAsia="仿宋" w:cs="仿宋"/>
          <w:color w:val="auto"/>
          <w:sz w:val="44"/>
          <w:szCs w:val="44"/>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jc w:val="center"/>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投标人：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盖章</w:t>
      </w:r>
      <w:r>
        <w:rPr>
          <w:rFonts w:hint="eastAsia" w:ascii="仿宋" w:hAnsi="仿宋" w:eastAsia="仿宋" w:cs="仿宋"/>
          <w:color w:val="auto"/>
          <w:sz w:val="28"/>
          <w:szCs w:val="28"/>
          <w:highlight w:val="none"/>
        </w:rPr>
        <w:t>）</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val="en-US" w:eastAsia="zh-CN"/>
        </w:rPr>
        <w:t>或委托代理人</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签字或盖章</w:t>
      </w:r>
      <w:r>
        <w:rPr>
          <w:rFonts w:hint="eastAsia" w:ascii="仿宋" w:hAnsi="仿宋" w:eastAsia="仿宋" w:cs="仿宋"/>
          <w:color w:val="auto"/>
          <w:sz w:val="28"/>
          <w:szCs w:val="28"/>
          <w:highlight w:val="none"/>
        </w:rPr>
        <w:t>）</w:t>
      </w:r>
    </w:p>
    <w:p>
      <w:pPr>
        <w:jc w:val="center"/>
        <w:rPr>
          <w:rFonts w:ascii="仿宋" w:hAnsi="仿宋" w:eastAsia="仿宋" w:cs="仿宋"/>
          <w:color w:val="auto"/>
          <w:sz w:val="28"/>
          <w:szCs w:val="28"/>
          <w:highlight w:val="none"/>
        </w:rPr>
      </w:pP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ascii="仿宋" w:hAnsi="仿宋" w:eastAsia="仿宋" w:cs="仿宋"/>
          <w:color w:val="auto"/>
          <w:sz w:val="28"/>
          <w:szCs w:val="28"/>
          <w:highlight w:val="none"/>
        </w:rPr>
      </w:pPr>
      <w:r>
        <w:rPr>
          <w:rFonts w:ascii="仿宋" w:hAnsi="仿宋" w:eastAsia="仿宋" w:cs="仿宋"/>
          <w:color w:val="auto"/>
          <w:sz w:val="28"/>
          <w:szCs w:val="28"/>
          <w:highlight w:val="none"/>
        </w:rPr>
        <w:br w:type="page"/>
      </w:r>
    </w:p>
    <w:p>
      <w:pPr>
        <w:spacing w:line="480" w:lineRule="auto"/>
        <w:ind w:right="980" w:firstLine="602" w:firstLineChars="200"/>
        <w:jc w:val="center"/>
        <w:rPr>
          <w:rFonts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rPr>
        <w:t>目录</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（1）法定代表人身份证明文件和本人有效身份证(或法定代表人授权委托书和委托代理人有效身份证)；</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（2）企业法人营业执照；</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企业资质证书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（4）项目负责人相关职称证书；</w:t>
      </w:r>
    </w:p>
    <w:p>
      <w:pPr>
        <w:keepNext w:val="0"/>
        <w:keepLines w:val="0"/>
        <w:pageBreakBefore w:val="0"/>
        <w:widowControl w:val="0"/>
        <w:kinsoku/>
        <w:wordWrap/>
        <w:overflowPunct/>
        <w:topLinePunct w:val="0"/>
        <w:autoSpaceDE/>
        <w:autoSpaceDN/>
        <w:bidi w:val="0"/>
        <w:spacing w:line="510" w:lineRule="exac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（6）投标人认为需要提供的其他材料。</w:t>
      </w:r>
    </w:p>
    <w:p>
      <w:pPr>
        <w:pStyle w:val="13"/>
        <w:ind w:left="0" w:leftChars="0" w:firstLine="0" w:firstLineChars="0"/>
        <w:rPr>
          <w:rFonts w:hint="default" w:eastAsia="宋体"/>
          <w:color w:val="auto"/>
          <w:highlight w:val="none"/>
          <w:lang w:val="en-US" w:eastAsia="zh-CN"/>
        </w:rPr>
      </w:pPr>
    </w:p>
    <w:p>
      <w:pPr>
        <w:rPr>
          <w:rFonts w:ascii="仿宋" w:hAnsi="仿宋" w:eastAsia="仿宋" w:cs="仿宋"/>
          <w:b/>
          <w:color w:val="auto"/>
          <w:sz w:val="21"/>
          <w:szCs w:val="21"/>
          <w:highlight w:val="none"/>
        </w:rPr>
      </w:pPr>
      <w:r>
        <w:rPr>
          <w:rFonts w:ascii="仿宋" w:hAnsi="仿宋" w:eastAsia="仿宋" w:cs="仿宋"/>
          <w:b/>
          <w:color w:val="auto"/>
          <w:sz w:val="21"/>
          <w:szCs w:val="21"/>
          <w:highlight w:val="none"/>
        </w:rPr>
        <w:br w:type="page"/>
      </w:r>
    </w:p>
    <w:p>
      <w:pPr>
        <w:jc w:val="center"/>
        <w:rPr>
          <w:rFonts w:ascii="仿宋" w:hAnsi="仿宋" w:eastAsia="仿宋" w:cs="仿宋"/>
          <w:color w:val="auto"/>
          <w:sz w:val="32"/>
          <w:szCs w:val="32"/>
          <w:highlight w:val="none"/>
        </w:rPr>
      </w:pPr>
      <w:r>
        <w:rPr>
          <w:rFonts w:hint="eastAsia" w:ascii="仿宋" w:hAnsi="仿宋" w:eastAsia="仿宋" w:cs="仿宋"/>
          <w:b/>
          <w:color w:val="auto"/>
          <w:sz w:val="28"/>
          <w:szCs w:val="28"/>
          <w:highlight w:val="none"/>
        </w:rPr>
        <w:t>法定代表人身份证明或授权委托书</w:t>
      </w:r>
    </w:p>
    <w:p>
      <w:pPr>
        <w:pStyle w:val="146"/>
        <w:spacing w:beforeLines="100" w:afterLines="100" w:line="480" w:lineRule="exact"/>
        <w:ind w:firstLine="180" w:firstLineChars="75"/>
        <w:rPr>
          <w:rFonts w:ascii="仿宋" w:hAnsi="仿宋" w:eastAsia="仿宋" w:cs="仿宋"/>
          <w:b/>
          <w:color w:val="auto"/>
          <w:sz w:val="24"/>
          <w:szCs w:val="24"/>
          <w:highlight w:val="none"/>
        </w:rPr>
      </w:pPr>
      <w:bookmarkStart w:id="14" w:name="OLE_LINK13"/>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、法定代表人身份证明</w:t>
      </w:r>
    </w:p>
    <w:p>
      <w:pPr>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单位性质：</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址：</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成立时间：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经营期限：</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spacing w:line="480" w:lineRule="exact"/>
        <w:ind w:firstLine="1440" w:firstLineChars="200"/>
        <w:rPr>
          <w:rFonts w:ascii="仿宋" w:hAnsi="仿宋" w:eastAsia="仿宋" w:cs="仿宋"/>
          <w:color w:val="auto"/>
          <w:sz w:val="24"/>
          <w:szCs w:val="24"/>
          <w:highlight w:val="none"/>
        </w:rPr>
      </w:pPr>
      <w:r>
        <w:rPr>
          <w:rFonts w:hint="eastAsia" w:ascii="仿宋" w:hAnsi="仿宋" w:eastAsia="仿宋" w:cs="仿宋"/>
          <w:color w:val="auto"/>
          <w:spacing w:val="240"/>
          <w:sz w:val="24"/>
          <w:szCs w:val="24"/>
          <w:highlight w:val="none"/>
        </w:rPr>
        <w:t>姓</w:t>
      </w:r>
      <w:r>
        <w:rPr>
          <w:rFonts w:hint="eastAsia" w:ascii="仿宋" w:hAnsi="仿宋" w:eastAsia="仿宋" w:cs="仿宋"/>
          <w:color w:val="auto"/>
          <w:sz w:val="24"/>
          <w:szCs w:val="24"/>
          <w:highlight w:val="none"/>
        </w:rPr>
        <w:t>名：</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_</w:t>
      </w:r>
    </w:p>
    <w:p>
      <w:pPr>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（投标人名称）的法定代表人。</w:t>
      </w:r>
    </w:p>
    <w:p>
      <w:pPr>
        <w:spacing w:line="480" w:lineRule="exact"/>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特此证明。</w:t>
      </w:r>
    </w:p>
    <w:p>
      <w:pPr>
        <w:spacing w:line="360" w:lineRule="auto"/>
        <w:ind w:firstLine="3480" w:firstLineChars="14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w:t>
      </w:r>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日</w:t>
      </w:r>
    </w:p>
    <w:bookmarkEnd w:id="14"/>
    <w:p>
      <w:pPr>
        <w:spacing w:line="48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、授权委托书</w:t>
      </w:r>
    </w:p>
    <w:p>
      <w:pPr>
        <w:spacing w:line="48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本授权委托书声明：我</w:t>
      </w:r>
      <w:r>
        <w:rPr>
          <w:rFonts w:hint="eastAsia" w:ascii="仿宋" w:hAnsi="仿宋" w:eastAsia="仿宋" w:cs="仿宋"/>
          <w:color w:val="auto"/>
          <w:sz w:val="24"/>
          <w:szCs w:val="24"/>
          <w:highlight w:val="none"/>
          <w:u w:val="single"/>
        </w:rPr>
        <w:t>（姓名）</w:t>
      </w:r>
      <w:r>
        <w:rPr>
          <w:rFonts w:hint="eastAsia" w:ascii="仿宋" w:hAnsi="仿宋" w:eastAsia="仿宋" w:cs="仿宋"/>
          <w:color w:val="auto"/>
          <w:sz w:val="24"/>
          <w:szCs w:val="24"/>
          <w:highlight w:val="none"/>
        </w:rPr>
        <w:t>系</w:t>
      </w:r>
      <w:r>
        <w:rPr>
          <w:rFonts w:hint="eastAsia" w:ascii="仿宋" w:hAnsi="仿宋" w:eastAsia="仿宋" w:cs="仿宋"/>
          <w:color w:val="auto"/>
          <w:sz w:val="24"/>
          <w:szCs w:val="24"/>
          <w:highlight w:val="none"/>
          <w:u w:val="single"/>
        </w:rPr>
        <w:t>（投标人名称）</w:t>
      </w:r>
      <w:r>
        <w:rPr>
          <w:rFonts w:hint="eastAsia" w:ascii="仿宋" w:hAnsi="仿宋" w:eastAsia="仿宋" w:cs="仿宋"/>
          <w:color w:val="auto"/>
          <w:sz w:val="24"/>
          <w:szCs w:val="24"/>
          <w:highlight w:val="none"/>
        </w:rPr>
        <w:t>的法定代表人，现授权委托</w:t>
      </w:r>
      <w:r>
        <w:rPr>
          <w:rFonts w:hint="eastAsia" w:ascii="仿宋" w:hAnsi="仿宋" w:eastAsia="仿宋" w:cs="仿宋"/>
          <w:color w:val="auto"/>
          <w:sz w:val="24"/>
          <w:szCs w:val="24"/>
          <w:highlight w:val="none"/>
          <w:u w:val="single"/>
        </w:rPr>
        <w:t>（单位名称）</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（姓名）</w:t>
      </w:r>
      <w:r>
        <w:rPr>
          <w:rFonts w:hint="eastAsia" w:ascii="仿宋" w:hAnsi="仿宋" w:eastAsia="仿宋" w:cs="仿宋"/>
          <w:color w:val="auto"/>
          <w:sz w:val="24"/>
          <w:szCs w:val="24"/>
          <w:highlight w:val="none"/>
        </w:rPr>
        <w:t>为我公司法定代表人授权委托代理人，参加</w:t>
      </w:r>
      <w:r>
        <w:rPr>
          <w:rFonts w:hint="eastAsia" w:ascii="仿宋" w:hAnsi="仿宋" w:eastAsia="仿宋" w:cs="仿宋"/>
          <w:color w:val="auto"/>
          <w:sz w:val="24"/>
          <w:szCs w:val="24"/>
          <w:highlight w:val="none"/>
          <w:u w:val="single"/>
        </w:rPr>
        <w:t>招标人</w:t>
      </w:r>
      <w:r>
        <w:rPr>
          <w:rFonts w:hint="eastAsia" w:ascii="仿宋" w:hAnsi="仿宋" w:eastAsia="仿宋" w:cs="仿宋"/>
          <w:color w:val="auto"/>
          <w:sz w:val="24"/>
          <w:szCs w:val="24"/>
          <w:highlight w:val="none"/>
        </w:rPr>
        <w:t>的</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工程的投标活动。代理人在投标、开标、评标、合同谈判过程中所签署的一切文件和处理与之有关的一切事务，我均予以承认。</w:t>
      </w:r>
    </w:p>
    <w:p>
      <w:pPr>
        <w:spacing w:line="48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代理人无转委托权，特此委托。</w:t>
      </w:r>
    </w:p>
    <w:p>
      <w:pPr>
        <w:spacing w:line="48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附：法定代表人及授权委托人有效身份证复印件</w:t>
      </w:r>
    </w:p>
    <w:p>
      <w:pPr>
        <w:spacing w:line="480" w:lineRule="auto"/>
        <w:ind w:right="24" w:firstLine="4560" w:firstLineChars="19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授权代理人：</w:t>
      </w:r>
      <w:r>
        <w:rPr>
          <w:rFonts w:hint="eastAsia" w:ascii="仿宋" w:hAnsi="仿宋" w:eastAsia="仿宋" w:cs="仿宋"/>
          <w:color w:val="auto"/>
          <w:sz w:val="24"/>
          <w:szCs w:val="24"/>
          <w:highlight w:val="none"/>
          <w:u w:val="single"/>
        </w:rPr>
        <w:t>（签字或盖章）</w:t>
      </w:r>
    </w:p>
    <w:p>
      <w:pPr>
        <w:spacing w:line="480" w:lineRule="auto"/>
        <w:ind w:firstLine="5040" w:firstLineChars="2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w:t>
      </w:r>
      <w:r>
        <w:rPr>
          <w:rFonts w:hint="eastAsia" w:ascii="仿宋" w:hAnsi="仿宋" w:eastAsia="仿宋" w:cs="仿宋"/>
          <w:color w:val="auto"/>
          <w:sz w:val="24"/>
          <w:szCs w:val="24"/>
          <w:highlight w:val="none"/>
          <w:u w:val="single"/>
        </w:rPr>
        <w:t>（盖章）</w:t>
      </w:r>
    </w:p>
    <w:p>
      <w:pPr>
        <w:spacing w:line="480" w:lineRule="auto"/>
        <w:ind w:right="204" w:firstLine="4560" w:firstLineChars="19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u w:val="single"/>
        </w:rPr>
        <w:t>（签字或盖章）</w:t>
      </w:r>
    </w:p>
    <w:p>
      <w:pPr>
        <w:spacing w:line="480" w:lineRule="auto"/>
        <w:ind w:right="980" w:firstLine="480" w:firstLineChars="200"/>
        <w:jc w:val="center"/>
        <w:rPr>
          <w:rFonts w:ascii="仿宋" w:hAnsi="仿宋" w:eastAsia="仿宋" w:cs="仿宋"/>
          <w:b/>
          <w:bCs/>
          <w:color w:val="auto"/>
          <w:kern w:val="0"/>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年月日</w:t>
      </w:r>
    </w:p>
    <w:p>
      <w:pPr>
        <w:rPr>
          <w:b/>
          <w:color w:val="auto"/>
          <w:sz w:val="28"/>
          <w:szCs w:val="28"/>
          <w:highlight w:val="none"/>
        </w:rPr>
      </w:pPr>
      <w:r>
        <w:rPr>
          <w:rFonts w:ascii="仿宋" w:hAnsi="仿宋" w:eastAsia="仿宋" w:cs="仿宋"/>
          <w:b/>
          <w:bCs/>
          <w:color w:val="auto"/>
          <w:kern w:val="0"/>
          <w:sz w:val="30"/>
          <w:szCs w:val="30"/>
          <w:highlight w:val="none"/>
        </w:rPr>
        <w:br w:type="page"/>
      </w:r>
    </w:p>
    <w:p>
      <w:pPr>
        <w:jc w:val="center"/>
        <w:rPr>
          <w:rFonts w:ascii="仿宋" w:hAnsi="仿宋" w:eastAsia="仿宋" w:cs="仿宋"/>
          <w:color w:val="auto"/>
          <w:sz w:val="28"/>
          <w:szCs w:val="28"/>
          <w:highlight w:val="none"/>
          <w:u w:val="single"/>
        </w:rPr>
      </w:pPr>
    </w:p>
    <w:p>
      <w:pPr>
        <w:jc w:val="center"/>
        <w:rPr>
          <w:rFonts w:ascii="仿宋" w:hAnsi="仿宋" w:eastAsia="仿宋" w:cs="仿宋"/>
          <w:color w:val="auto"/>
          <w:sz w:val="20"/>
          <w:szCs w:val="20"/>
          <w:highlight w:val="none"/>
        </w:rPr>
      </w:pP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jc w:val="center"/>
        <w:rPr>
          <w:rFonts w:ascii="仿宋" w:hAnsi="仿宋" w:eastAsia="仿宋" w:cs="仿宋"/>
          <w:color w:val="auto"/>
          <w:sz w:val="20"/>
          <w:szCs w:val="20"/>
          <w:highlight w:val="none"/>
        </w:rPr>
      </w:pPr>
    </w:p>
    <w:p>
      <w:pPr>
        <w:jc w:val="center"/>
        <w:rPr>
          <w:rFonts w:ascii="仿宋" w:hAnsi="仿宋" w:eastAsia="仿宋" w:cs="仿宋"/>
          <w:color w:val="auto"/>
          <w:sz w:val="20"/>
          <w:szCs w:val="20"/>
          <w:highlight w:val="none"/>
        </w:rPr>
      </w:pPr>
    </w:p>
    <w:p>
      <w:pPr>
        <w:jc w:val="center"/>
        <w:rPr>
          <w:rFonts w:ascii="仿宋" w:hAnsi="仿宋" w:eastAsia="仿宋" w:cs="仿宋"/>
          <w:color w:val="auto"/>
          <w:sz w:val="20"/>
          <w:szCs w:val="20"/>
          <w:highlight w:val="none"/>
        </w:rPr>
      </w:pPr>
    </w:p>
    <w:p>
      <w:pPr>
        <w:rPr>
          <w:rFonts w:ascii="仿宋" w:hAnsi="仿宋" w:eastAsia="仿宋" w:cs="仿宋"/>
          <w:color w:val="auto"/>
          <w:sz w:val="20"/>
          <w:szCs w:val="20"/>
          <w:highlight w:val="none"/>
        </w:rPr>
      </w:pPr>
    </w:p>
    <w:p>
      <w:pPr>
        <w:jc w:val="center"/>
        <w:rPr>
          <w:rFonts w:hint="eastAsia" w:ascii="仿宋" w:hAnsi="仿宋" w:eastAsia="仿宋" w:cs="仿宋"/>
          <w:color w:val="auto"/>
          <w:sz w:val="44"/>
          <w:szCs w:val="44"/>
          <w:highlight w:val="none"/>
          <w:lang w:val="en-US" w:eastAsia="zh-CN"/>
        </w:rPr>
      </w:pPr>
      <w:r>
        <w:rPr>
          <w:rFonts w:hint="eastAsia" w:ascii="仿宋" w:hAnsi="仿宋" w:eastAsia="仿宋" w:cs="仿宋"/>
          <w:color w:val="auto"/>
          <w:sz w:val="44"/>
          <w:szCs w:val="44"/>
          <w:highlight w:val="none"/>
          <w:lang w:val="en-US" w:eastAsia="zh-CN"/>
        </w:rPr>
        <w:t>投标文件二</w:t>
      </w:r>
    </w:p>
    <w:p>
      <w:pPr>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lang w:val="en-US" w:eastAsia="zh-CN"/>
        </w:rPr>
        <w:t>商务标</w:t>
      </w:r>
      <w:r>
        <w:rPr>
          <w:rFonts w:ascii="仿宋" w:hAnsi="仿宋" w:eastAsia="仿宋" w:cs="仿宋"/>
          <w:color w:val="auto"/>
          <w:sz w:val="44"/>
          <w:szCs w:val="44"/>
          <w:highlight w:val="none"/>
        </w:rPr>
        <w:t xml:space="preserve"> </w:t>
      </w:r>
    </w:p>
    <w:p>
      <w:pPr>
        <w:jc w:val="center"/>
        <w:rPr>
          <w:rFonts w:ascii="仿宋" w:hAnsi="仿宋" w:eastAsia="仿宋" w:cs="仿宋"/>
          <w:color w:val="auto"/>
          <w:sz w:val="44"/>
          <w:szCs w:val="44"/>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jc w:val="center"/>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投标人：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盖章</w:t>
      </w:r>
      <w:r>
        <w:rPr>
          <w:rFonts w:hint="eastAsia" w:ascii="仿宋" w:hAnsi="仿宋" w:eastAsia="仿宋" w:cs="仿宋"/>
          <w:color w:val="auto"/>
          <w:sz w:val="28"/>
          <w:szCs w:val="28"/>
          <w:highlight w:val="none"/>
        </w:rPr>
        <w:t>）</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val="en-US" w:eastAsia="zh-CN"/>
        </w:rPr>
        <w:t>或委托代理人</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签字或盖章</w:t>
      </w:r>
      <w:r>
        <w:rPr>
          <w:rFonts w:hint="eastAsia" w:ascii="仿宋" w:hAnsi="仿宋" w:eastAsia="仿宋" w:cs="仿宋"/>
          <w:color w:val="auto"/>
          <w:sz w:val="28"/>
          <w:szCs w:val="28"/>
          <w:highlight w:val="none"/>
        </w:rPr>
        <w:t>）</w:t>
      </w:r>
    </w:p>
    <w:p>
      <w:pPr>
        <w:jc w:val="center"/>
        <w:rPr>
          <w:rFonts w:ascii="仿宋" w:hAnsi="仿宋" w:eastAsia="仿宋" w:cs="仿宋"/>
          <w:color w:val="auto"/>
          <w:sz w:val="28"/>
          <w:szCs w:val="28"/>
          <w:highlight w:val="none"/>
        </w:rPr>
      </w:pP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ascii="仿宋" w:hAnsi="仿宋" w:eastAsia="仿宋" w:cs="仿宋"/>
          <w:color w:val="auto"/>
          <w:sz w:val="28"/>
          <w:szCs w:val="28"/>
          <w:highlight w:val="none"/>
        </w:rPr>
      </w:pPr>
      <w:r>
        <w:rPr>
          <w:rFonts w:ascii="仿宋" w:hAnsi="仿宋" w:eastAsia="仿宋" w:cs="仿宋"/>
          <w:color w:val="auto"/>
          <w:sz w:val="28"/>
          <w:szCs w:val="28"/>
          <w:highlight w:val="none"/>
        </w:rPr>
        <w:br w:type="page"/>
      </w:r>
    </w:p>
    <w:p>
      <w:pPr>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（1）投 标 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Chars="0" w:right="0" w:righ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根据你方招标项目的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项目招标文件，遵照《中华人民共和国招标投标法》、《工程建设项目勘察设计招标投标办法》等有关规定，经研究上述招标文件的投标须知、合同条款、设计要求及规范和其他有关文件后，</w:t>
      </w:r>
      <w:r>
        <w:rPr>
          <w:rFonts w:hint="eastAsia" w:ascii="宋体" w:hAnsi="宋体" w:eastAsia="宋体" w:cs="宋体"/>
          <w:b/>
          <w:bCs/>
          <w:color w:val="auto"/>
          <w:szCs w:val="21"/>
          <w:highlight w:val="none"/>
        </w:rPr>
        <w:t>我方愿以</w:t>
      </w:r>
      <w:r>
        <w:rPr>
          <w:rFonts w:hint="eastAsia" w:ascii="宋体" w:hAnsi="宋体" w:cs="宋体"/>
          <w:b/>
          <w:bCs/>
          <w:color w:val="auto"/>
          <w:szCs w:val="21"/>
          <w:highlight w:val="none"/>
          <w:lang w:val="en-US" w:eastAsia="zh-CN"/>
        </w:rPr>
        <w:t>总投标报价人民币：</w:t>
      </w:r>
      <w:r>
        <w:rPr>
          <w:rFonts w:hint="eastAsia" w:ascii="宋体" w:hAnsi="宋体" w:cs="宋体"/>
          <w:b/>
          <w:bCs/>
          <w:color w:val="auto"/>
          <w:szCs w:val="21"/>
          <w:highlight w:val="none"/>
          <w:u w:val="single"/>
          <w:lang w:val="en-US" w:eastAsia="zh-CN"/>
        </w:rPr>
        <w:t xml:space="preserve">         元</w:t>
      </w:r>
      <w:r>
        <w:rPr>
          <w:rFonts w:hint="eastAsia" w:ascii="宋体" w:hAnsi="宋体" w:cs="宋体"/>
          <w:b/>
          <w:bCs/>
          <w:color w:val="auto"/>
          <w:szCs w:val="21"/>
          <w:highlight w:val="none"/>
          <w:u w:val="none"/>
          <w:lang w:val="en-US" w:eastAsia="zh-CN"/>
        </w:rPr>
        <w:t>（其中：</w:t>
      </w:r>
      <w:r>
        <w:rPr>
          <w:rFonts w:hint="eastAsia" w:ascii="宋体" w:hAnsi="宋体" w:cs="宋体"/>
          <w:b/>
          <w:bCs/>
          <w:color w:val="auto"/>
          <w:szCs w:val="21"/>
          <w:highlight w:val="none"/>
          <w:u w:val="single"/>
          <w:lang w:val="en-US" w:eastAsia="zh-CN"/>
        </w:rPr>
        <w:t>基坑监测         元；建筑物沉降观测         元</w:t>
      </w:r>
      <w:r>
        <w:rPr>
          <w:rFonts w:hint="eastAsia" w:ascii="宋体" w:hAnsi="宋体" w:cs="宋体"/>
          <w:b/>
          <w:bCs/>
          <w:color w:val="auto"/>
          <w:szCs w:val="21"/>
          <w:highlight w:val="none"/>
          <w:u w:val="none"/>
          <w:lang w:val="en-US" w:eastAsia="zh-CN"/>
        </w:rPr>
        <w:t>）</w:t>
      </w:r>
      <w:r>
        <w:rPr>
          <w:rFonts w:hint="eastAsia" w:ascii="宋体" w:hAnsi="宋体" w:eastAsia="宋体" w:cs="宋体"/>
          <w:color w:val="auto"/>
          <w:szCs w:val="21"/>
          <w:highlight w:val="none"/>
          <w:lang w:val="en-US" w:eastAsia="zh-CN"/>
        </w:rPr>
        <w:t>承担本项目所有工作</w:t>
      </w:r>
      <w:r>
        <w:rPr>
          <w:rFonts w:hint="eastAsia" w:ascii="宋体" w:hAnsi="宋体" w:eastAsia="宋体" w:cs="宋体"/>
          <w:color w:val="auto"/>
          <w:szCs w:val="21"/>
          <w:highlight w:val="none"/>
        </w:rPr>
        <w:t>并按上述要求对合同的完成承担全部责任和义务。如我单位中标，我单位将完成本项目的</w:t>
      </w:r>
      <w:r>
        <w:rPr>
          <w:rFonts w:hint="eastAsia" w:ascii="宋体" w:hAnsi="宋体" w:cs="宋体"/>
          <w:color w:val="auto"/>
          <w:szCs w:val="21"/>
          <w:highlight w:val="none"/>
          <w:lang w:val="en-US" w:eastAsia="zh-CN"/>
        </w:rPr>
        <w:t>工作</w:t>
      </w:r>
      <w:r>
        <w:rPr>
          <w:rFonts w:hint="eastAsia" w:ascii="宋体" w:hAnsi="宋体" w:eastAsia="宋体" w:cs="宋体"/>
          <w:color w:val="auto"/>
          <w:szCs w:val="21"/>
          <w:highlight w:val="none"/>
        </w:rPr>
        <w:t>和相关服务，质量标准符合招标文件要求。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我方承诺：自监测合同签署之日至所监测的项目内容全部施工完毕且竣工验收合格为止，中标后3个工作日内提供经招标人认可的详细工作计划。</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04" w:firstLineChars="200"/>
        <w:jc w:val="left"/>
        <w:textAlignment w:val="auto"/>
        <w:outlineLvl w:val="9"/>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3、我方已详细审核全部招标文件及有关附件，承诺招标文件及有关附件中所有条款。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4、我方拟派本项目的项目负责人为：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5、本项目</w:t>
      </w:r>
      <w:r>
        <w:rPr>
          <w:rFonts w:hint="eastAsia" w:ascii="宋体" w:hAnsi="宋体" w:eastAsia="宋体" w:cs="宋体"/>
          <w:color w:val="auto"/>
          <w:sz w:val="21"/>
          <w:szCs w:val="21"/>
          <w:highlight w:val="none"/>
        </w:rPr>
        <w:t>投标有效期为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6</w:t>
      </w:r>
      <w:r>
        <w:rPr>
          <w:rFonts w:hint="eastAsia" w:ascii="宋体" w:hAnsi="宋体" w:eastAsia="宋体" w:cs="宋体"/>
          <w:color w:val="auto"/>
          <w:sz w:val="21"/>
          <w:szCs w:val="21"/>
          <w:highlight w:val="none"/>
          <w:u w:val="single"/>
        </w:rPr>
        <w:t xml:space="preserve">0 </w:t>
      </w:r>
      <w:r>
        <w:rPr>
          <w:rFonts w:hint="eastAsia" w:ascii="宋体" w:hAnsi="宋体" w:eastAsia="宋体" w:cs="宋体"/>
          <w:color w:val="auto"/>
          <w:sz w:val="21"/>
          <w:szCs w:val="21"/>
          <w:highlight w:val="none"/>
        </w:rPr>
        <w:t>日历天（从投标截止之日算起）</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、我单位承诺在接到贵单位通知后在当日内至现场解决相关问题。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如果我方在本投标书有效期内撤回投标书，或在中标通知书下达后</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30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天内未能或拒绝签订合同书，或自行转标，贵单位有权另选中标单位。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、我单位提供如下通讯地址：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电子邮箱（地址），确认本项目相关法律文书均通过提供的以上地址送达，相关文书只要发送至以上电子邮箱（地址）即视为送达，投标人愿意承担一切法律后果。</w:t>
      </w:r>
    </w:p>
    <w:p>
      <w:pPr>
        <w:keepNext w:val="0"/>
        <w:keepLines w:val="0"/>
        <w:pageBreakBefore w:val="0"/>
        <w:widowControl w:val="0"/>
        <w:kinsoku/>
        <w:wordWrap/>
        <w:overflowPunct/>
        <w:topLinePunct w:val="0"/>
        <w:autoSpaceDE/>
        <w:autoSpaceDN/>
        <w:bidi w:val="0"/>
        <w:adjustRightInd/>
        <w:snapToGrid/>
        <w:spacing w:line="400" w:lineRule="exact"/>
        <w:ind w:firstLine="1995" w:firstLineChars="950"/>
        <w:textAlignment w:val="auto"/>
        <w:rPr>
          <w:rFonts w:hint="eastAsia"/>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1995" w:firstLineChars="950"/>
        <w:textAlignment w:val="auto"/>
        <w:rPr>
          <w:color w:val="auto"/>
          <w:szCs w:val="21"/>
          <w:highlight w:val="none"/>
          <w:u w:val="single"/>
        </w:rPr>
      </w:pPr>
      <w:r>
        <w:rPr>
          <w:rFonts w:hint="eastAsia"/>
          <w:color w:val="auto"/>
          <w:szCs w:val="21"/>
          <w:highlight w:val="none"/>
        </w:rPr>
        <w:t>投标人：</w:t>
      </w:r>
      <w:r>
        <w:rPr>
          <w:rFonts w:hint="eastAsia"/>
          <w:color w:val="auto"/>
          <w:szCs w:val="21"/>
          <w:highlight w:val="none"/>
          <w:u w:val="single"/>
        </w:rPr>
        <w:t xml:space="preserve">                   （</w:t>
      </w:r>
      <w:r>
        <w:rPr>
          <w:rFonts w:hint="eastAsia"/>
          <w:color w:val="auto"/>
          <w:szCs w:val="21"/>
          <w:highlight w:val="none"/>
          <w:u w:val="single"/>
          <w:lang w:val="en-US" w:eastAsia="zh-CN"/>
        </w:rPr>
        <w:t>盖章</w:t>
      </w:r>
      <w:r>
        <w:rPr>
          <w:rFonts w:hint="eastAsia"/>
          <w:color w:val="auto"/>
          <w:szCs w:val="21"/>
          <w:highlight w:val="none"/>
          <w:u w:val="single"/>
        </w:rPr>
        <w:t>）</w:t>
      </w:r>
      <w:r>
        <w:rPr>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rFonts w:hint="eastAsia"/>
          <w:color w:val="auto"/>
          <w:szCs w:val="21"/>
          <w:highlight w:val="none"/>
        </w:rPr>
      </w:pPr>
      <w:r>
        <w:rPr>
          <w:rFonts w:hint="eastAsia"/>
          <w:color w:val="auto"/>
          <w:szCs w:val="21"/>
          <w:highlight w:val="none"/>
        </w:rPr>
        <w:t>法定代表人或其委托代理人：</w:t>
      </w:r>
      <w:r>
        <w:rPr>
          <w:color w:val="auto"/>
          <w:szCs w:val="21"/>
          <w:highlight w:val="none"/>
          <w:u w:val="single"/>
        </w:rPr>
        <w:t xml:space="preserve">        </w:t>
      </w:r>
      <w:r>
        <w:rPr>
          <w:rFonts w:hint="eastAsia"/>
          <w:color w:val="auto"/>
          <w:szCs w:val="21"/>
          <w:highlight w:val="none"/>
          <w:u w:val="single"/>
        </w:rPr>
        <w:t>（签字或签章）</w:t>
      </w:r>
      <w:r>
        <w:rPr>
          <w:rFonts w:hint="eastAsia"/>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color w:val="auto"/>
          <w:szCs w:val="21"/>
          <w:highlight w:val="none"/>
          <w:u w:val="single"/>
        </w:rPr>
      </w:pPr>
      <w:r>
        <w:rPr>
          <w:rFonts w:hint="eastAsia"/>
          <w:color w:val="auto"/>
          <w:szCs w:val="21"/>
          <w:highlight w:val="none"/>
        </w:rPr>
        <w:t>单位地址：</w:t>
      </w:r>
      <w:r>
        <w:rPr>
          <w:rFonts w:hint="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color w:val="auto"/>
          <w:szCs w:val="21"/>
          <w:highlight w:val="none"/>
          <w:u w:val="single"/>
        </w:rPr>
      </w:pPr>
      <w:r>
        <w:rPr>
          <w:rFonts w:hint="eastAsia"/>
          <w:color w:val="auto"/>
          <w:szCs w:val="21"/>
          <w:highlight w:val="none"/>
        </w:rPr>
        <w:t>电话</w:t>
      </w:r>
      <w:r>
        <w:rPr>
          <w:rFonts w:hint="eastAsia"/>
          <w:color w:val="auto"/>
          <w:szCs w:val="21"/>
          <w:highlight w:val="none"/>
          <w:lang w:eastAsia="zh-CN"/>
        </w:rPr>
        <w:t>：</w:t>
      </w:r>
      <w:r>
        <w:rPr>
          <w:rFonts w:hint="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color w:val="auto"/>
          <w:szCs w:val="21"/>
          <w:highlight w:val="none"/>
          <w:u w:val="single"/>
        </w:rPr>
      </w:pPr>
      <w:r>
        <w:rPr>
          <w:rFonts w:hint="eastAsia"/>
          <w:color w:val="auto"/>
          <w:szCs w:val="21"/>
          <w:highlight w:val="none"/>
        </w:rPr>
        <w:t>传真：</w:t>
      </w:r>
      <w:r>
        <w:rPr>
          <w:rFonts w:hint="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rFonts w:hint="eastAsia"/>
          <w:color w:val="auto"/>
          <w:highlight w:val="none"/>
        </w:rPr>
      </w:pPr>
      <w:r>
        <w:rPr>
          <w:rFonts w:hint="eastAsia"/>
          <w:color w:val="auto"/>
          <w:szCs w:val="21"/>
          <w:highlight w:val="none"/>
        </w:rPr>
        <w:t>日期：</w:t>
      </w:r>
      <w:r>
        <w:rPr>
          <w:color w:val="auto"/>
          <w:szCs w:val="21"/>
          <w:highlight w:val="none"/>
          <w:u w:val="single"/>
        </w:rPr>
        <w:t xml:space="preserve">  </w:t>
      </w:r>
      <w:r>
        <w:rPr>
          <w:rFonts w:hint="eastAsia"/>
          <w:color w:val="auto"/>
          <w:szCs w:val="21"/>
          <w:highlight w:val="none"/>
          <w:u w:val="single"/>
        </w:rPr>
        <w:t xml:space="preserve">     </w:t>
      </w:r>
      <w:r>
        <w:rPr>
          <w:rFonts w:hint="eastAsia" w:ascii="宋体" w:hAnsi="宋体"/>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年</w:t>
      </w:r>
      <w:r>
        <w:rPr>
          <w:color w:val="auto"/>
          <w:szCs w:val="21"/>
          <w:highlight w:val="none"/>
        </w:rPr>
        <w:t xml:space="preserve"> </w:t>
      </w:r>
      <w:r>
        <w:rPr>
          <w:color w:val="auto"/>
          <w:szCs w:val="21"/>
          <w:highlight w:val="none"/>
          <w:u w:val="single"/>
        </w:rPr>
        <w:t xml:space="preserve">  </w:t>
      </w:r>
      <w:r>
        <w:rPr>
          <w:rFonts w:hint="eastAsia"/>
          <w:color w:val="auto"/>
          <w:szCs w:val="21"/>
          <w:highlight w:val="none"/>
          <w:u w:val="single"/>
        </w:rPr>
        <w:t xml:space="preserve">     </w:t>
      </w:r>
      <w:r>
        <w:rPr>
          <w:rFonts w:hint="eastAsia" w:ascii="宋体" w:hAnsi="宋体"/>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月</w:t>
      </w:r>
      <w:r>
        <w:rPr>
          <w:color w:val="auto"/>
          <w:szCs w:val="21"/>
          <w:highlight w:val="none"/>
        </w:rPr>
        <w:t xml:space="preserve"> </w:t>
      </w:r>
      <w:r>
        <w:rPr>
          <w:color w:val="auto"/>
          <w:szCs w:val="21"/>
          <w:highlight w:val="none"/>
          <w:u w:val="single"/>
        </w:rPr>
        <w:t xml:space="preserve">   </w:t>
      </w:r>
      <w:r>
        <w:rPr>
          <w:rFonts w:hint="eastAsia"/>
          <w:color w:val="auto"/>
          <w:szCs w:val="21"/>
          <w:highlight w:val="none"/>
          <w:u w:val="single"/>
        </w:rPr>
        <w:t xml:space="preserve">     </w:t>
      </w:r>
      <w:r>
        <w:rPr>
          <w:rFonts w:hint="eastAsia" w:ascii="宋体" w:hAnsi="宋体"/>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日</w:t>
      </w:r>
    </w:p>
    <w:p>
      <w:pPr>
        <w:rPr>
          <w:rFonts w:ascii="仿宋" w:hAnsi="仿宋" w:eastAsia="仿宋" w:cs="仿宋"/>
          <w:b/>
          <w:bCs/>
          <w:color w:val="auto"/>
          <w:kern w:val="0"/>
          <w:sz w:val="30"/>
          <w:szCs w:val="30"/>
          <w:highlight w:val="none"/>
        </w:rPr>
      </w:pPr>
    </w:p>
    <w:p>
      <w:pPr>
        <w:pStyle w:val="12"/>
        <w:rPr>
          <w:rFonts w:ascii="仿宋" w:hAnsi="仿宋" w:eastAsia="仿宋" w:cs="仿宋"/>
          <w:b/>
          <w:bCs/>
          <w:color w:val="auto"/>
          <w:kern w:val="0"/>
          <w:sz w:val="30"/>
          <w:szCs w:val="30"/>
          <w:highlight w:val="none"/>
        </w:rPr>
      </w:pPr>
    </w:p>
    <w:p>
      <w:pPr>
        <w:pStyle w:val="13"/>
        <w:rPr>
          <w:rFonts w:ascii="仿宋" w:hAnsi="仿宋" w:eastAsia="仿宋" w:cs="仿宋"/>
          <w:b/>
          <w:bCs/>
          <w:color w:val="auto"/>
          <w:kern w:val="0"/>
          <w:sz w:val="30"/>
          <w:szCs w:val="30"/>
          <w:highlight w:val="none"/>
        </w:rPr>
      </w:pPr>
    </w:p>
    <w:p>
      <w:pPr>
        <w:rPr>
          <w:rFonts w:ascii="仿宋" w:hAnsi="仿宋" w:eastAsia="仿宋" w:cs="仿宋"/>
          <w:b/>
          <w:bCs/>
          <w:color w:val="auto"/>
          <w:kern w:val="0"/>
          <w:sz w:val="30"/>
          <w:szCs w:val="30"/>
          <w:highlight w:val="none"/>
        </w:rPr>
      </w:pPr>
    </w:p>
    <w:p>
      <w:pPr>
        <w:pStyle w:val="12"/>
        <w:rPr>
          <w:rFonts w:ascii="仿宋" w:hAnsi="仿宋" w:eastAsia="仿宋" w:cs="仿宋"/>
          <w:b/>
          <w:bCs/>
          <w:color w:val="auto"/>
          <w:kern w:val="0"/>
          <w:sz w:val="30"/>
          <w:szCs w:val="30"/>
          <w:highlight w:val="none"/>
        </w:rPr>
      </w:pPr>
    </w:p>
    <w:p>
      <w:pPr>
        <w:pStyle w:val="13"/>
        <w:rPr>
          <w:color w:val="auto"/>
          <w:highlight w:val="none"/>
        </w:rPr>
      </w:pPr>
    </w:p>
    <w:p>
      <w:pPr>
        <w:pStyle w:val="2"/>
        <w:spacing w:before="200" w:after="200" w:line="600" w:lineRule="exact"/>
        <w:jc w:val="center"/>
        <w:rPr>
          <w:rFonts w:hint="eastAsia" w:ascii="黑体" w:hAnsi="黑体" w:eastAsia="黑体"/>
          <w:color w:val="000000"/>
          <w:sz w:val="24"/>
          <w:szCs w:val="24"/>
        </w:rPr>
      </w:pPr>
      <w:bookmarkStart w:id="15" w:name="_Toc95223548"/>
      <w:bookmarkStart w:id="16" w:name="_Toc23863"/>
      <w:r>
        <w:rPr>
          <w:rFonts w:hint="eastAsia" w:ascii="黑体" w:hAnsi="黑体" w:eastAsia="黑体"/>
          <w:color w:val="000000"/>
          <w:sz w:val="24"/>
          <w:szCs w:val="24"/>
        </w:rPr>
        <w:t>附件1 关于联合惩戒失信行为加强信用查询管理的通知</w:t>
      </w:r>
      <w:bookmarkEnd w:id="15"/>
    </w:p>
    <w:p>
      <w:pPr>
        <w:keepNext w:val="0"/>
        <w:keepLines w:val="0"/>
        <w:pageBreakBefore w:val="0"/>
        <w:widowControl w:val="0"/>
        <w:kinsoku/>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一、失信行为联合惩戒的范围和查询渠道</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在我市公共资源交易活动中对存在下列失信行为的投标人、法定代表人及其项目经理（建造师）实施联合惩戒，禁止参与我市公共资源交易活动。</w:t>
      </w:r>
    </w:p>
    <w:p>
      <w:pPr>
        <w:keepNext w:val="0"/>
        <w:keepLines w:val="0"/>
        <w:pageBreakBefore w:val="0"/>
        <w:widowControl w:val="0"/>
        <w:kinsoku/>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（一）工程建设项目</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1、“信用中国”网站（www.creditchina.gov.cn）查询以下失信行为：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①投标人被人民法院列入失信被执行人的；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②投标人被税务部门列入重大税收违法案件当事人的；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③投标人被人力资源社会保障主管部门列入拖欠农民工工资“黑名单”的；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④在“信用中国”网站上披露的仍在公示期的严重失信行为的。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2、国家企业信用信息公示系统网站（</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HYPERLINK "http://www.gsxt.gov.cn）查询"</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www.gsxt.gov.cn）</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查询以下失信行为：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①被市场监督管理部门列入经营异常名录或者严重违法企业名单的。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3、滁州市公共资源交易中心网站（http://ggzy.chuzhou.gov.cn/）查询以下失信行为：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①被滁州市县两级公管部门取消在一定期限内的投标资格且在取消期限内的；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②被滁州市县两级公管部门记入不良行为记录或者信用信息记录，且在披露期内的。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4、由竞争主体进行承诺，不进行现场网上信用查询的失信行为：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①前三年有行贿犯罪行为的单位和个人；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②被滁州市县两级各行业主管部门取消在一定期限内的投标资格且在取消期限内的；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③因拖欠农民工工资被县级及以上有关行政主管部门限制投标资格且在限制期限内的；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④被列入省级、市级农民工工资支付异常名录的施工企业，在限制其参加全市范围内房建和市政工程建设项目投标的期限内的；列入县级异常名录的施工企业，在限制其参加本行政区域内房建和市政建设项目投标的期限内的。</w:t>
      </w:r>
    </w:p>
    <w:p>
      <w:pPr>
        <w:keepNext w:val="0"/>
        <w:keepLines w:val="0"/>
        <w:pageBreakBefore w:val="0"/>
        <w:widowControl w:val="0"/>
        <w:kinsoku/>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（二）政府采购项目</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1、“信用中国”网站（www.creditchina.gov.cn）查询以下失信行为：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①投标人被人民法院列入失信被执行人的；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②投标人被税务部门列入重大税收违法案件当事人的；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③在“信用中国”网站上披露的仍在公示期的严重失信行为的。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2、国家企业信用信息公示系统网站（</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HYPERLINK "http://www.gsxt.gov.cn）查询"</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www.gsxt.gov.cn）</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查询以下失信行为：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①被市场监督管理部门列入经营异常名录或者严重违法企业名单的。</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3、中国政府采购网站（</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"http://www.ccgp.gov.cn" </w:instrText>
      </w:r>
      <w:r>
        <w:rPr>
          <w:rFonts w:hint="eastAsia" w:ascii="宋体" w:hAnsi="宋体" w:eastAsia="宋体" w:cs="宋体"/>
          <w:color w:val="000000"/>
          <w:sz w:val="24"/>
          <w:szCs w:val="24"/>
        </w:rPr>
        <w:fldChar w:fldCharType="separate"/>
      </w:r>
      <w:r>
        <w:rPr>
          <w:rStyle w:val="58"/>
          <w:rFonts w:hint="eastAsia" w:ascii="宋体" w:hAnsi="宋体" w:eastAsia="宋体" w:cs="宋体"/>
          <w:color w:val="000000"/>
          <w:sz w:val="24"/>
          <w:szCs w:val="24"/>
        </w:rPr>
        <w:t>www.ccgp.gov.cn</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）查询以下失信行为：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①政府采购严重违法失信行为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4、由竞争主体进行承诺，不进行现场网上信用查询的失信行为：</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①前三年有行贿犯罪行为的单位和个人。</w:t>
      </w:r>
    </w:p>
    <w:p>
      <w:pPr>
        <w:keepNext w:val="0"/>
        <w:keepLines w:val="0"/>
        <w:pageBreakBefore w:val="0"/>
        <w:widowControl w:val="0"/>
        <w:kinsoku/>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二、在开评标活动中的查询程序</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实行有限数量制资格审查的项目，由项目单位（代理机构）对入围的投标人、法定代表人及其项目经理（建造师）是否存在上述要求查询的失信行为进行网上核查；若核查结果与投标人承诺不一致，则提交评标委员会取消其入围资格，依次进行替补，并对替补单位进行核查。评审结论以核查后入围的结果重新计算最终评标基准值。</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不实行有限数量制资格审查的项目，由项目单位（代理机构）对预中标候选人、法定代表人及其项目经理（建造师）是否存在上述要求查询的失信行为进行网上核查后，提交网站截图等查询记录给评标委员会复核。若核查结果不符合招标文件规定的投标人资格条件信誉要求，由评标委员会取消其预中标候选人资格，并依次替补，再次对替补单位进行核查。如评标现场未发现问题但标后质疑（异议）、投诉发现中标候选人存在信誉问题，则组织评标委员会重新启动复核程序。核查结果不改变原评标基准值。</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3、项目单位及其委托的代理机构应当做好信用查询结果截图和记录留存。</w:t>
      </w:r>
    </w:p>
    <w:p>
      <w:pPr>
        <w:keepNext w:val="0"/>
        <w:keepLines w:val="0"/>
        <w:pageBreakBefore w:val="0"/>
        <w:widowControl w:val="0"/>
        <w:kinsoku/>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三、相关要求</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1、参与公共资源交易活动的竞争主体根据上述范围查询的内容进行自查并承诺，出具《诚信投标承诺书》（诚信投标承诺书包括但不限于上述自查并承诺内容）并注明承诺日期（投标截止时间前5日内）。</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p>
    <w:p>
      <w:pPr>
        <w:keepNext w:val="0"/>
        <w:keepLines w:val="0"/>
        <w:pageBreakBefore w:val="0"/>
        <w:widowControl w:val="0"/>
        <w:kinsoku/>
        <w:wordWrap w:val="0"/>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注册地在安徽省内且未在安徽省外开展业务、省外无违法违规行为的企业可通过安徽政务服务网开具由安徽省公共信用信息服务中心出具的《公共信用信息报告（无违法违规证明版或核查版）》代替《诚信投标承诺书》。《公共信用信息报告（无违法违规证明版或核查版）》可通过 “信用中国(安徽)”网站信用报告核验系统 ( </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"https://credit.ah.gov.cn/xinyong-fuwu/xvbahv/index.html" </w:instrText>
      </w:r>
      <w:r>
        <w:rPr>
          <w:rFonts w:hint="eastAsia" w:ascii="宋体" w:hAnsi="宋体" w:eastAsia="宋体" w:cs="宋体"/>
          <w:color w:val="000000"/>
          <w:sz w:val="24"/>
          <w:szCs w:val="24"/>
        </w:rPr>
        <w:fldChar w:fldCharType="separate"/>
      </w:r>
      <w:r>
        <w:rPr>
          <w:rStyle w:val="58"/>
          <w:rFonts w:hint="eastAsia" w:ascii="宋体" w:hAnsi="宋体" w:eastAsia="宋体" w:cs="宋体"/>
          <w:color w:val="000000"/>
          <w:sz w:val="24"/>
          <w:szCs w:val="24"/>
        </w:rPr>
        <w:t>https://credit.ah.gov.cn/xinyong-fuwu/xvbahv/index.html</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进行核验。核验不一致或提交《公共信用信息报告（无违法违规证明版或核查版）》的企业在省外有失信行为的将视作不诚信行为，资格审查委员会或评标委员会及代理机构应当及时报告公共资源监管部门，依法依规予以处理。</w:t>
      </w:r>
    </w:p>
    <w:p>
      <w:pPr>
        <w:keepNext w:val="0"/>
        <w:keepLines w:val="0"/>
        <w:pageBreakBefore w:val="0"/>
        <w:widowControl w:val="0"/>
        <w:kinsoku/>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2、“信用中国”查询的严重失信行为判定依据为各行业主管部门下发的联合惩戒文件中规定的行为（按附件2执行）。</w:t>
      </w:r>
    </w:p>
    <w:p>
      <w:pPr>
        <w:keepNext w:val="0"/>
        <w:keepLines w:val="0"/>
        <w:pageBreakBefore w:val="0"/>
        <w:widowControl w:val="0"/>
        <w:kinsoku/>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3、资格预审的项目以递交资格预审申请文件截止时间查询为准；资格后审的项目以递交投标文件截止时间查询为准。</w:t>
      </w:r>
    </w:p>
    <w:p>
      <w:pPr>
        <w:adjustRightInd w:val="0"/>
        <w:snapToGrid w:val="0"/>
        <w:spacing w:line="560" w:lineRule="exact"/>
        <w:rPr>
          <w:rFonts w:hint="eastAsia"/>
          <w:color w:val="000000"/>
          <w:sz w:val="24"/>
          <w:szCs w:val="24"/>
        </w:rPr>
      </w:pPr>
    </w:p>
    <w:p>
      <w:pPr>
        <w:pStyle w:val="13"/>
        <w:rPr>
          <w:rFonts w:hint="eastAsia"/>
          <w:color w:val="000000"/>
          <w:sz w:val="24"/>
          <w:szCs w:val="24"/>
        </w:rPr>
      </w:pPr>
    </w:p>
    <w:p>
      <w:pPr>
        <w:rPr>
          <w:rFonts w:hint="eastAsia"/>
          <w:color w:val="000000"/>
          <w:sz w:val="24"/>
          <w:szCs w:val="24"/>
        </w:rPr>
      </w:pPr>
    </w:p>
    <w:p>
      <w:pPr>
        <w:pStyle w:val="13"/>
        <w:ind w:left="0" w:leftChars="0" w:firstLine="0" w:firstLineChars="0"/>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pStyle w:val="13"/>
        <w:rPr>
          <w:rFonts w:hint="eastAsia"/>
          <w:color w:val="000000"/>
          <w:sz w:val="24"/>
          <w:szCs w:val="24"/>
        </w:rPr>
      </w:pPr>
    </w:p>
    <w:p>
      <w:pPr>
        <w:rPr>
          <w:rFonts w:hint="eastAsia"/>
          <w:color w:val="000000"/>
          <w:sz w:val="24"/>
          <w:szCs w:val="24"/>
        </w:rPr>
      </w:pPr>
    </w:p>
    <w:p>
      <w:pPr>
        <w:pStyle w:val="13"/>
        <w:rPr>
          <w:rFonts w:hint="eastAsia"/>
          <w:color w:val="000000"/>
          <w:sz w:val="24"/>
          <w:szCs w:val="24"/>
        </w:rPr>
      </w:pPr>
    </w:p>
    <w:p>
      <w:pPr>
        <w:rPr>
          <w:rFonts w:hint="eastAsia"/>
          <w:color w:val="000000"/>
          <w:sz w:val="24"/>
          <w:szCs w:val="24"/>
        </w:rPr>
      </w:pPr>
    </w:p>
    <w:p>
      <w:pPr>
        <w:pStyle w:val="2"/>
        <w:spacing w:before="200" w:after="200" w:line="600" w:lineRule="exact"/>
        <w:jc w:val="center"/>
        <w:rPr>
          <w:rFonts w:hint="eastAsia" w:ascii="黑体" w:hAnsi="黑体" w:eastAsia="黑体"/>
          <w:color w:val="000000"/>
          <w:sz w:val="24"/>
          <w:szCs w:val="24"/>
        </w:rPr>
      </w:pPr>
      <w:bookmarkStart w:id="17" w:name="_Toc95223549"/>
      <w:r>
        <w:rPr>
          <w:rFonts w:hint="eastAsia" w:ascii="黑体" w:hAnsi="黑体" w:eastAsia="黑体"/>
          <w:color w:val="000000"/>
          <w:sz w:val="24"/>
          <w:szCs w:val="24"/>
        </w:rPr>
        <w:t>附件2 “信用中国”查询的严重失信行为类别及判定依据</w:t>
      </w:r>
      <w:bookmarkEnd w:id="17"/>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“信用中国”查询的严重失信行为判定依据为各行业主管部门下发的联合惩戒文件中规定的行为。下面将部分类别的严重失信行为列举如下：</w:t>
      </w:r>
    </w:p>
    <w:p>
      <w:pPr>
        <w:adjustRightInd w:val="0"/>
        <w:snapToGrid w:val="0"/>
        <w:spacing w:line="560" w:lineRule="exact"/>
        <w:ind w:firstLine="645"/>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一、安全生产领域严重失信行为：</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（一）发生较大及以上生产安全责任事故，或1年内累计发生3起及以上造成人员死亡的一般生产安全责任事故的；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（二）未按规定取得安全生产许可，擅自开展生产经营建设活动的；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（三）发现重大生产安全事故隐患，或职业病危害严重超标，不及时整改，仍组织从业人员冒险作业的；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（四）采取隐蔽、欺骗或阻碍等方式逃避、对抗安全监管监察的;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（五）被责令停产停业整顿，仍然从事生产经营建设活动的；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（六）瞒报、谎报、迟报生产安全事故的；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（七）矿山、危险化学品、金属冶炼等高危行业建设项目安全设施未经验收合格即投入生产和使用的；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（八）矿山生产经营单位存在超层越界开采、以探代采行为的；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（九）发生事故后，故意破坏事故现场，伪造有关证据资料，妨碍、对抗事故调查，或主要负责人逃逸的；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（十）安全生产和职业健康技术服务机构出具虚假报告或证明，违规转让或出借资质的。</w:t>
      </w:r>
    </w:p>
    <w:p>
      <w:pPr>
        <w:adjustRightInd w:val="0"/>
        <w:snapToGrid w:val="0"/>
        <w:spacing w:line="560" w:lineRule="exact"/>
        <w:ind w:firstLine="645"/>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依据：《对安全生产领域失信行为开展联合惩戒的实施办法》（安监总办〔2017〕49号）第二条</w:t>
      </w:r>
    </w:p>
    <w:p>
      <w:pPr>
        <w:adjustRightInd w:val="0"/>
        <w:snapToGrid w:val="0"/>
        <w:spacing w:line="560" w:lineRule="exact"/>
        <w:ind w:firstLine="645"/>
        <w:jc w:val="left"/>
        <w:rPr>
          <w:rFonts w:hint="eastAsia" w:ascii="宋体" w:hAnsi="宋体" w:eastAsia="宋体" w:cs="宋体"/>
          <w:b/>
          <w:color w:val="000000"/>
          <w:sz w:val="24"/>
          <w:szCs w:val="24"/>
        </w:rPr>
      </w:pPr>
    </w:p>
    <w:p>
      <w:pPr>
        <w:adjustRightInd w:val="0"/>
        <w:snapToGrid w:val="0"/>
        <w:spacing w:line="560" w:lineRule="exact"/>
        <w:ind w:firstLine="645"/>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二、环境保护领域严重失信行为：</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（一）因为环境违法构成</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"https://baike.sogou.com/m/fullLemma?lid=10403954&amp;g_ut=3"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环境犯罪</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（二）</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"https://baike.sogou.com/m/fullLemma?lid=76033123&amp;g_ut=3"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建设项目环境影响评价</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文件未按规定通过审批，擅自开工建设的；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（三）建设项目环保设施未建成、环保措施未落实、未通过</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"https://baike.sogou.com/m/fullLemma?lid=6470550&amp;g_ut=3"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竣工环保验收</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或者验收不合格，主体工程正式投入生产或者使用的；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（四）建设项目性质、规模、地点、采用的生产工艺或者防治污染、防止生态破坏的措施发生重大变动，未重新报批环境影响评价文件，擅自投入生产或者使用的；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（五）主要污染物排放总量超过控制指标的；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（六）私设暗管或者利用</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"https://baike.sogou.com/m/fullLemma?lid=41657319&amp;g_ut=3"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渗井</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、渗坑、裂隙、溶洞等排放、倾倒、处置水污染物，或者通过私设旁路排放</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"https://baike.sogou.com/m/fullLemma?lid=7758328&amp;g_ut=3"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大气污染物</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（七）非法排放、倾倒、处置危险废物，或者向无</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"https://baike.sogou.com/m/fullLemma?lid=5923292&amp;g_ut=3"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经营许可证</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或者超出经营许可范围的单位或个人提供或者委托其收集、贮存、利用、处置危险废物的；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（八）</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"https://baike.sogou.com/m/fullLemma?lid=167759803&amp;g_ut=3"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环境违法行为</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造成集中式生活饮用水水源取水中断的；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（九）环境违法行为对生活饮用水水源保护区、自然保护区、</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"https://baike.sogou.com/m/fullLemma?lid=155199213&amp;g_ut=3"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国家重点生态功能区</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、风景名胜区、居住功能区、</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"https://baike.sogou.com/m/fullLemma?lid=7757164&amp;g_ut=3" \t "https://baike.sogou.com/m/_blank"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基本农田保护区</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等环境敏感区造成重大不利影响的；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（十）违法从事自然资源开发、交通基础设施建设，以及其他开发建设活动，造成严重生态破坏的；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（十一）发生较大及以上突发环境事件的；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（十二）被环保部门挂牌督办，整改逾期未完成的；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（十三）以暴力、威胁等方式拒绝、阻挠环保部门工作人员现场检查的；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（十四）违反重污染天气应急预案有关规定，对重污染天气响应不力的。</w:t>
      </w:r>
    </w:p>
    <w:p>
      <w:pPr>
        <w:adjustRightInd w:val="0"/>
        <w:snapToGrid w:val="0"/>
        <w:spacing w:line="560" w:lineRule="exact"/>
        <w:ind w:firstLine="645"/>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依据：《关于对环境保护领域失信生产经营单位及其有关人员开展联合惩戒的合作备忘录》、《企业环境信用评价办法（试行）》（环发〔2013〕150号）</w:t>
      </w:r>
    </w:p>
    <w:p>
      <w:pPr>
        <w:adjustRightInd w:val="0"/>
        <w:snapToGrid w:val="0"/>
        <w:spacing w:line="560" w:lineRule="exact"/>
        <w:ind w:firstLine="645"/>
        <w:jc w:val="left"/>
        <w:rPr>
          <w:rFonts w:hint="eastAsia" w:ascii="宋体" w:hAnsi="宋体" w:eastAsia="宋体" w:cs="宋体"/>
          <w:b/>
          <w:color w:val="000000"/>
          <w:sz w:val="24"/>
          <w:szCs w:val="24"/>
        </w:rPr>
      </w:pPr>
    </w:p>
    <w:p>
      <w:pPr>
        <w:adjustRightInd w:val="0"/>
        <w:snapToGrid w:val="0"/>
        <w:spacing w:line="560" w:lineRule="exact"/>
        <w:ind w:firstLine="645"/>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三、</w:t>
      </w:r>
      <w:r>
        <w:rPr>
          <w:rFonts w:hint="eastAsia" w:ascii="宋体" w:hAnsi="宋体" w:eastAsia="宋体" w:cs="宋体"/>
          <w:b/>
          <w:bCs/>
          <w:color w:val="000000"/>
          <w:sz w:val="24"/>
          <w:szCs w:val="24"/>
        </w:rPr>
        <w:t>公共资源交易领域严重失信行为</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（一）违反法律规定，必须进行招标的项目而不招标的，将必须进行招标的项目化整为零或者以其他任何方式规避招标的； </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（二）招标代理机构违反法律规定，泄露应当保密的与招标投标活动有关的情况和资料的，或者与招标人、投标人串通损害 国家利益、社会公共利益或者他人合法权益的；</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（三）招标人以不合理的条件限制或者排斥潜在投标人的，对潜在投标人实行歧视待遇的，强制要求投标人组成联合体共同 投标的，或者限制投标人之间竞争的；</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（四）依法必须进行招标的项目的招标人向他人透露已获取招标文件的潜在投标人的名称、数量或者可能影响公平竞争的有 关招标投标的其他情况的，或者泄露标底的；</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（五）投标人相互串通投标或者与招标人串通投标的，投标人以向招标人或者评标委员会成员行贿的手段谋取中标的； </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（六）投标人以他人名义投标或者以其他方式弄虚作假，骗取中标的；</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（七）依法必须进行招标的项目，招标人违反法律规定，与投标人就投标价格、投标方案等实质性内容进行谈判的；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（八）评标委员会成员收受投标人的财物或者其他好处的，评标委员会成员或者参加评标的有关工作人员向他人透露对投 标文件的评审和比较、中标候选人的推荐以及与评标有关的其他 情况的； </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（九）招标人在评标委员会依法推荐的中标候选人以外确定中标人的，依法必须进行招标的项目在所有投标被评标委员会否 决后自行确定中标人的； </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（十）中标人将中标项目转让给他人的，将中标项目肢解后分别转让给他人的，违反法律规定将中标项目的部分主体、关键 性工作分包给他人的，或者分包人再次分包的； </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（十一）招标人与中标人不按照招标文件和中标人的投标文件订立合同的，或者招标人、中标人订立背离合同实质性内容的 协议的； </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（十二）中标人不按照与招标人订立的合同履行义务，情节严重的； </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（十三）采购人、采购代理机构存在应当采用公开招标方式而擅自采用其他方式采购，擅自提高采购标准，以不合理的条件 对供应商实行差别待遇或者歧视待遇，在招标采购过程中与投标 人进行协商谈判，中标、成交通知书发出后不与中标、成交供应商签订采购合同，或者拒绝有关部门依法实施监督检查等情形的；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（十四）采购人、采购代理机构及其工作人员存在与供应商 或者采购代理机构恶意串通，在采购过程中接受贿赂或者获取其 他不正当利益，在有关部门依法实施的监督检查中提供虚假情况， 或者开标前泄露标底等情形的；</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（十五）采购人对应当实行集中采购的政府采购项目，不委托集中采购机构实行集中采购的； </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（十六）采购人、采购代理机构违反法律规定隐匿、销毁应当保存的采购文件或者伪造、变造采购文件的； </w:t>
      </w:r>
    </w:p>
    <w:p>
      <w:pPr>
        <w:adjustRightInd w:val="0"/>
        <w:snapToGrid w:val="0"/>
        <w:spacing w:line="560" w:lineRule="exact"/>
        <w:ind w:firstLine="645"/>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（十七）供应商存在提供虚假材料谋取中标、成交，采取不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（十八）疫苗生产企业向县级疾病预防控制机构以外的单位或者个人销售第二类疫苗的；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（十九）存在其他违反公共资源交易法律法规行为的。</w:t>
      </w:r>
    </w:p>
    <w:p>
      <w:pPr>
        <w:adjustRightInd w:val="0"/>
        <w:snapToGrid w:val="0"/>
        <w:spacing w:line="560" w:lineRule="exact"/>
        <w:ind w:firstLine="766" w:firstLineChars="318"/>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依据：《关于对公共资源交易领域严重失信主体开展联合惩戒的备忘录》（发改法规〔2018〕457号）</w:t>
      </w:r>
    </w:p>
    <w:p>
      <w:pPr>
        <w:adjustRightInd w:val="0"/>
        <w:snapToGrid w:val="0"/>
        <w:spacing w:line="560" w:lineRule="exact"/>
        <w:ind w:firstLine="645"/>
        <w:jc w:val="left"/>
        <w:rPr>
          <w:rFonts w:hint="eastAsia" w:ascii="宋体" w:hAnsi="宋体" w:eastAsia="宋体" w:cs="宋体"/>
          <w:color w:val="000000"/>
          <w:sz w:val="24"/>
          <w:szCs w:val="24"/>
        </w:rPr>
      </w:pPr>
    </w:p>
    <w:p>
      <w:pPr>
        <w:adjustRightInd w:val="0"/>
        <w:snapToGrid w:val="0"/>
        <w:spacing w:line="560" w:lineRule="exact"/>
        <w:ind w:firstLine="645"/>
        <w:jc w:val="left"/>
        <w:rPr>
          <w:rFonts w:hint="eastAsia" w:ascii="宋体" w:hAnsi="宋体" w:eastAsia="宋体" w:cs="宋体"/>
          <w:b/>
          <w:bCs/>
          <w:color w:val="000000"/>
          <w:sz w:val="24"/>
          <w:szCs w:val="24"/>
        </w:rPr>
      </w:pPr>
      <w:r>
        <w:rPr>
          <w:rFonts w:hint="eastAsia" w:ascii="宋体" w:hAnsi="宋体" w:eastAsia="宋体" w:cs="宋体"/>
          <w:b/>
          <w:color w:val="000000"/>
          <w:sz w:val="24"/>
          <w:szCs w:val="24"/>
        </w:rPr>
        <w:t>四、</w:t>
      </w:r>
      <w:r>
        <w:rPr>
          <w:rFonts w:hint="eastAsia" w:ascii="宋体" w:hAnsi="宋体" w:eastAsia="宋体" w:cs="宋体"/>
          <w:b/>
          <w:bCs/>
          <w:color w:val="000000"/>
          <w:sz w:val="24"/>
          <w:szCs w:val="24"/>
        </w:rPr>
        <w:t>社会保险领域严重失信行为</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（一）用人单位未按相关规定参加社会保险且拒不整改的；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（二）用人单位未如实申报社会保险缴费基数且拒不整改的；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（三）应缴纳社会保险费却拒不缴纳的；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（四）隐匿、转移、侵占、挪用社会保险费款、基金或者违规投资运营的；</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（五）以欺诈、伪造证明材料或者其他手段参加、申报社会保险和骗取社会保险基金支出或社会保险待遇的；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（六）非法获取、出售或变相交易社会保险个人权益数据的；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（七）社会保险服务机构违反服务协议或相关规定的；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（八）拒绝协助社会保险行政部门、经办机构对事故和问题进 行调查核实的；拒绝接受或协助税务部门对社会保险实施监督检查， 不如实提供与社会保险相关各项资料的； </w:t>
      </w:r>
    </w:p>
    <w:p>
      <w:pPr>
        <w:adjustRightInd w:val="0"/>
        <w:snapToGrid w:val="0"/>
        <w:spacing w:line="560" w:lineRule="exact"/>
        <w:ind w:left="141" w:leftChars="67" w:firstLine="360" w:firstLineChars="150"/>
        <w:jc w:val="left"/>
        <w:rPr>
          <w:rFonts w:hint="eastAsia" w:ascii="宋体" w:hAnsi="宋体" w:eastAsia="宋体" w:cs="宋体"/>
          <w:color w:val="000000"/>
          <w:sz w:val="24"/>
          <w:szCs w:val="24"/>
        </w:rPr>
      </w:pPr>
      <w:r>
        <w:rPr>
          <w:rFonts w:hint="eastAsia" w:ascii="宋体" w:hAnsi="宋体" w:eastAsia="宋体" w:cs="宋体"/>
          <w:color w:val="000000"/>
          <w:sz w:val="24"/>
          <w:szCs w:val="24"/>
        </w:rPr>
        <w:t>（九）其他违反法律法规规定的。</w:t>
      </w:r>
    </w:p>
    <w:p>
      <w:pPr>
        <w:adjustRightInd w:val="0"/>
        <w:snapToGrid w:val="0"/>
        <w:spacing w:line="560" w:lineRule="exact"/>
        <w:ind w:firstLine="472" w:firstLineChars="196"/>
        <w:jc w:val="left"/>
        <w:rPr>
          <w:rFonts w:hint="eastAsia" w:ascii="宋体" w:hAnsi="宋体" w:eastAsia="宋体" w:cs="宋体"/>
          <w:color w:val="000000"/>
          <w:sz w:val="24"/>
          <w:szCs w:val="24"/>
        </w:rPr>
      </w:pPr>
      <w:r>
        <w:rPr>
          <w:rFonts w:hint="eastAsia" w:ascii="宋体" w:hAnsi="宋体" w:eastAsia="宋体" w:cs="宋体"/>
          <w:b/>
          <w:color w:val="000000"/>
          <w:sz w:val="24"/>
          <w:szCs w:val="24"/>
        </w:rPr>
        <w:t>依据：《关于对社会保险领域严重失信企业及其有关人员实施联合惩戒的合作备忘录》（发改财金〔2018〕1704号）</w:t>
      </w:r>
    </w:p>
    <w:p>
      <w:pPr>
        <w:adjustRightInd w:val="0"/>
        <w:snapToGrid w:val="0"/>
        <w:spacing w:line="5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adjustRightInd w:val="0"/>
        <w:snapToGrid w:val="0"/>
        <w:spacing w:line="560" w:lineRule="exact"/>
        <w:ind w:firstLine="482" w:firstLineChars="200"/>
        <w:jc w:val="left"/>
        <w:rPr>
          <w:rFonts w:hint="eastAsia" w:ascii="宋体" w:hAnsi="宋体" w:eastAsia="宋体" w:cs="宋体"/>
          <w:b/>
          <w:bCs/>
          <w:color w:val="000000"/>
          <w:sz w:val="24"/>
          <w:szCs w:val="24"/>
        </w:rPr>
      </w:pPr>
      <w:r>
        <w:rPr>
          <w:rFonts w:hint="eastAsia" w:ascii="宋体" w:hAnsi="宋体" w:eastAsia="宋体" w:cs="宋体"/>
          <w:b/>
          <w:color w:val="000000"/>
          <w:sz w:val="24"/>
          <w:szCs w:val="24"/>
        </w:rPr>
        <w:t>五、建筑市场领域</w:t>
      </w:r>
      <w:r>
        <w:rPr>
          <w:rFonts w:hint="eastAsia" w:ascii="宋体" w:hAnsi="宋体" w:eastAsia="宋体" w:cs="宋体"/>
          <w:b/>
          <w:bCs/>
          <w:color w:val="000000"/>
          <w:sz w:val="24"/>
          <w:szCs w:val="24"/>
        </w:rPr>
        <w:t>严重失信行为</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（一）利用虚假材料、以欺骗手段取得企业资质的；</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（二）发生转包、出借资质，受到行政处罚的；</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（三）发生重大及以上工程质量安全事故，或1年内累计发生2次及以上较大工程质量安全事故，或发生性质恶劣、危害性严重、社会影响大的较大工程质量安全事故，受到行政处罚的；</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（四）经法院判决或仲裁机构裁决，认定为拖欠工程款,且拒不履行生效法律文书确定的义务的。</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各级住房城乡建设主管部门应当参照建筑市场主体“黑名单”，对被人力资源社会保障行政部门列入拖欠农民工工资“黑名单”的建筑市场各方主体加强监管。</w:t>
      </w:r>
    </w:p>
    <w:p>
      <w:pPr>
        <w:ind w:firstLine="482" w:firstLineChars="200"/>
        <w:jc w:val="left"/>
        <w:rPr>
          <w:rFonts w:hint="eastAsia" w:ascii="宋体" w:hAnsi="宋体" w:eastAsia="宋体" w:cs="宋体"/>
          <w:color w:val="000000"/>
          <w:sz w:val="24"/>
          <w:szCs w:val="24"/>
        </w:rPr>
      </w:pPr>
      <w:r>
        <w:rPr>
          <w:rFonts w:hint="eastAsia" w:ascii="宋体" w:hAnsi="宋体" w:eastAsia="宋体" w:cs="宋体"/>
          <w:b/>
          <w:color w:val="000000"/>
          <w:sz w:val="24"/>
          <w:szCs w:val="24"/>
        </w:rPr>
        <w:t>依据：《建筑市场信用管理暂行办法》（建市〔2017〕241号）</w:t>
      </w:r>
    </w:p>
    <w:p>
      <w:pPr>
        <w:adjustRightInd w:val="0"/>
        <w:snapToGrid w:val="0"/>
        <w:spacing w:line="560" w:lineRule="exact"/>
        <w:rPr>
          <w:rFonts w:hint="eastAsia" w:ascii="宋体" w:hAnsi="宋体" w:eastAsia="宋体" w:cs="宋体"/>
          <w:b/>
          <w:color w:val="000000"/>
          <w:sz w:val="24"/>
          <w:szCs w:val="24"/>
        </w:rPr>
      </w:pPr>
    </w:p>
    <w:p>
      <w:pPr>
        <w:adjustRightInd w:val="0"/>
        <w:snapToGrid w:val="0"/>
        <w:spacing w:line="56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六、政府采购严重失信行为</w:t>
      </w:r>
    </w:p>
    <w:p>
      <w:pPr>
        <w:adjustRightInd w:val="0"/>
        <w:snapToGrid w:val="0"/>
        <w:spacing w:line="560" w:lineRule="exact"/>
        <w:ind w:firstLine="615"/>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供应商、采购代理机构在三年内受到财政部门作出下列情形之一的行政处罚，列入政府采购严重违法失信行为记录名单。</w:t>
      </w:r>
    </w:p>
    <w:p>
      <w:pPr>
        <w:adjustRightInd w:val="0"/>
        <w:snapToGrid w:val="0"/>
        <w:spacing w:line="560" w:lineRule="exact"/>
        <w:ind w:firstLine="615"/>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（一）三万元以上罚款；</w:t>
      </w:r>
    </w:p>
    <w:p>
      <w:pPr>
        <w:adjustRightInd w:val="0"/>
        <w:snapToGrid w:val="0"/>
        <w:spacing w:line="560" w:lineRule="exact"/>
        <w:ind w:firstLine="615"/>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（二）在一至三年内禁止参加政府采购活动（处罚期限届满的除外）；</w:t>
      </w:r>
    </w:p>
    <w:p>
      <w:pPr>
        <w:adjustRightInd w:val="0"/>
        <w:snapToGrid w:val="0"/>
        <w:spacing w:line="560" w:lineRule="exact"/>
        <w:ind w:firstLine="615"/>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（三）在一至三年内禁止代理政府采购业务（处罚期限届满的除外）；</w:t>
      </w:r>
    </w:p>
    <w:p>
      <w:pPr>
        <w:adjustRightInd w:val="0"/>
        <w:snapToGrid w:val="0"/>
        <w:spacing w:line="560" w:lineRule="exact"/>
        <w:ind w:firstLine="615"/>
        <w:rPr>
          <w:rFonts w:hint="eastAsia" w:ascii="宋体" w:hAnsi="宋体" w:eastAsia="宋体" w:cs="宋体"/>
          <w:color w:val="000000"/>
          <w:sz w:val="24"/>
          <w:szCs w:val="24"/>
        </w:rPr>
      </w:pPr>
      <w:r>
        <w:rPr>
          <w:rFonts w:hint="eastAsia" w:ascii="宋体" w:hAnsi="宋体" w:eastAsia="宋体" w:cs="宋体"/>
          <w:color w:val="000000"/>
          <w:sz w:val="24"/>
          <w:szCs w:val="24"/>
        </w:rPr>
        <w:t>　 （四）撤销政府采购代理机构资格（仅针对《政府采购法》第78条修改前作出的处罚决定）。</w:t>
      </w:r>
    </w:p>
    <w:p>
      <w:pPr>
        <w:adjustRightInd w:val="0"/>
        <w:snapToGrid w:val="0"/>
        <w:spacing w:line="560" w:lineRule="exact"/>
        <w:ind w:firstLine="482" w:firstLineChars="200"/>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依据：《关于报送政府采购严重违法失信行为信息记录的通知》（财办库〔2014〕526号）</w:t>
      </w:r>
    </w:p>
    <w:p>
      <w:pPr>
        <w:adjustRightInd w:val="0"/>
        <w:snapToGrid w:val="0"/>
        <w:spacing w:line="560" w:lineRule="exact"/>
        <w:ind w:firstLine="482" w:firstLineChars="200"/>
        <w:rPr>
          <w:rFonts w:hint="eastAsia" w:ascii="宋体" w:hAnsi="宋体" w:eastAsia="宋体" w:cs="宋体"/>
          <w:b/>
          <w:color w:val="000000"/>
          <w:sz w:val="24"/>
          <w:szCs w:val="24"/>
        </w:rPr>
      </w:pPr>
    </w:p>
    <w:p>
      <w:pPr>
        <w:adjustRightInd w:val="0"/>
        <w:snapToGrid w:val="0"/>
        <w:spacing w:line="56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七、水利建设领域严重失信行为</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（一）1年内不良行为记录累计扣分达到20分的；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（二）"重点关注名单"公开期满后仍不整改的；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（三）存在以下严重危害人民群众身体健康、生命安全和工程质量，以及特别严重违规行为之一的：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1.发生重大、特大质量或安全事故，并负有直接责任的；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2.在单位公开信息、工程相关技术成果和工程建设过程中隐瞒真实情况、弄虚作假，提供虚假材料，谋取不正当利益的；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3.违反有关法律、法规、规章、政策、技术标准、设计文件、合同等有关规定开展工作造成的工程质量问题，经处理后仍影响工程正常使用或减少工程使用寿命的；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4.违反规定施工，造成生态环境严重破坏且拒不修复的；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5.被证实恶意制造工程质量缺陷或质量隐患的；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6.其他违反法律法规，造成严重后果或社会危害较大的。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（四）存在以下严重破坏市场公平竞争秩序和社会正常秩序行为之一的：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1.不按合同约定，恶意拖欠承包人项目款的；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2.隐瞒有关情况或者提供虚假材料申请资质的，在全国水利建设市场监管服务平台公开虚假信息的，以欺骗、贿赂等不正当手段取得资质等级证书的；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3.出借、借用资质证书,允许他人以本单位名义或借用他人名义等弄虚作假方式承揽业务的；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4.未取得相应资质或超越资质证书核定范围、营业范围承揽业务的；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5.操纵招标过程，谋取不正当利益的；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6.与招标人或投标人串通投标的；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7.以向招标人或评标委员会成员行贿的手段谋取中标的；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8.中标后，无正当理由不签订合同的；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9.转包或违法分包所承揽业务的；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10.弄虚作假，以欺诈手段降低工程或设备质量的；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11.单位行贿、受贿，受到刑事处罚的；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12.逃税骗税、恶意逃废债务的；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13.参与非法集资，受到刑事处罚的；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14.在签订、履行合同过程中，存在合同欺诈行为，受到刑事处罚的；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15.虚构工程项目，套取资金的；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16.克扣、无故拖欠农民工工资报酬，数额达到认定拒不支付劳动报酬罪数额标准的；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17.发生社会公共事件，影响较大，并负有直接责任的。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（五）存在以下拒不履行法定义务，严重影响司法机关、行政机关公信力行为之一的：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1.发生事故拒绝接受调查或拒绝提供有关资料的；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2.拒不执行生效的行政处罚决定的；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3.拒不执行仲裁、法院判决结果的。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（六）被相关联合惩戒部门列入"黑名单"，符合联合惩戒措施的。</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生产建设项目水土保持市场主体"黑名单"列入标准见《水利建设市场主体信用信息管理办法》附件。</w:t>
      </w:r>
    </w:p>
    <w:p>
      <w:pPr>
        <w:adjustRightInd w:val="0"/>
        <w:snapToGrid w:val="0"/>
        <w:spacing w:line="560" w:lineRule="exact"/>
        <w:ind w:firstLine="615"/>
        <w:rPr>
          <w:rFonts w:hint="eastAsia" w:ascii="宋体" w:hAnsi="宋体" w:eastAsia="宋体" w:cs="宋体"/>
          <w:color w:val="000000"/>
          <w:sz w:val="24"/>
          <w:szCs w:val="24"/>
        </w:rPr>
      </w:pPr>
      <w:r>
        <w:rPr>
          <w:rFonts w:hint="eastAsia" w:ascii="宋体" w:hAnsi="宋体" w:eastAsia="宋体" w:cs="宋体"/>
          <w:color w:val="000000"/>
          <w:sz w:val="24"/>
          <w:szCs w:val="24"/>
        </w:rPr>
        <w:t>依据：《水利建设市场主体信用评价管理办法》水建设〔2019〕307号、《水利建设市场主体信用信息管理办法》水建设〔2019〕306号</w:t>
      </w:r>
    </w:p>
    <w:p>
      <w:pPr>
        <w:adjustRightInd w:val="0"/>
        <w:snapToGrid w:val="0"/>
        <w:spacing w:line="560" w:lineRule="exact"/>
        <w:ind w:firstLine="615"/>
        <w:rPr>
          <w:rFonts w:hint="eastAsia" w:ascii="宋体" w:hAnsi="宋体" w:eastAsia="宋体" w:cs="宋体"/>
          <w:b/>
          <w:color w:val="000000"/>
          <w:sz w:val="24"/>
          <w:szCs w:val="24"/>
        </w:rPr>
      </w:pPr>
    </w:p>
    <w:p>
      <w:pPr>
        <w:adjustRightInd w:val="0"/>
        <w:snapToGrid w:val="0"/>
        <w:spacing w:line="560" w:lineRule="exact"/>
        <w:ind w:firstLine="615"/>
        <w:rPr>
          <w:rFonts w:hint="eastAsia" w:ascii="宋体" w:hAnsi="宋体" w:eastAsia="宋体" w:cs="宋体"/>
          <w:b/>
          <w:color w:val="000000"/>
          <w:sz w:val="24"/>
          <w:szCs w:val="24"/>
        </w:rPr>
      </w:pPr>
      <w:r>
        <w:rPr>
          <w:rFonts w:hint="eastAsia" w:ascii="宋体" w:hAnsi="宋体" w:eastAsia="宋体" w:cs="宋体"/>
          <w:b/>
          <w:color w:val="000000"/>
          <w:sz w:val="24"/>
          <w:szCs w:val="24"/>
        </w:rPr>
        <w:t>未列出的其他类别严重失信行为，由招标人（代理机构）根据各类别行业主管部门下发的联合惩戒文件进行判断。</w:t>
      </w:r>
    </w:p>
    <w:p>
      <w:pPr>
        <w:spacing w:line="440" w:lineRule="exact"/>
        <w:jc w:val="center"/>
        <w:outlineLvl w:val="0"/>
        <w:rPr>
          <w:rFonts w:hint="eastAsia" w:ascii="宋体"/>
          <w:b/>
          <w:color w:val="auto"/>
          <w:sz w:val="32"/>
          <w:szCs w:val="32"/>
          <w:highlight w:val="none"/>
        </w:rPr>
      </w:pPr>
    </w:p>
    <w:p>
      <w:pPr>
        <w:spacing w:line="440" w:lineRule="exact"/>
        <w:jc w:val="center"/>
        <w:outlineLvl w:val="0"/>
        <w:rPr>
          <w:rFonts w:hint="eastAsia" w:ascii="宋体"/>
          <w:b/>
          <w:color w:val="auto"/>
          <w:sz w:val="32"/>
          <w:szCs w:val="32"/>
          <w:highlight w:val="none"/>
        </w:rPr>
      </w:pPr>
    </w:p>
    <w:p>
      <w:pPr>
        <w:spacing w:line="440" w:lineRule="exact"/>
        <w:jc w:val="center"/>
        <w:outlineLvl w:val="0"/>
        <w:rPr>
          <w:rFonts w:hint="eastAsia" w:ascii="宋体"/>
          <w:b/>
          <w:color w:val="auto"/>
          <w:sz w:val="32"/>
          <w:szCs w:val="32"/>
          <w:highlight w:val="none"/>
        </w:rPr>
      </w:pPr>
    </w:p>
    <w:p>
      <w:pPr>
        <w:pStyle w:val="2"/>
        <w:spacing w:before="0" w:after="0"/>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3"/>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3"/>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3"/>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3"/>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3"/>
        <w:rPr>
          <w:rFonts w:hint="eastAsia"/>
          <w:lang w:val="en-US" w:eastAsia="zh-CN"/>
        </w:rPr>
      </w:pPr>
    </w:p>
    <w:p>
      <w:pPr>
        <w:pStyle w:val="2"/>
        <w:spacing w:before="0" w:after="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第六章招标单位、招标代理机构对本招标文件的确认</w:t>
      </w:r>
      <w:bookmarkEnd w:id="16"/>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456" w:type="dxa"/>
          </w:tcPr>
          <w:p>
            <w:pPr>
              <w:spacing w:line="320" w:lineRule="atLeast"/>
              <w:ind w:firstLine="560" w:firstLineChars="200"/>
              <w:rPr>
                <w:rFonts w:ascii="仿宋" w:hAnsi="仿宋" w:eastAsia="仿宋" w:cs="仿宋"/>
                <w:color w:val="auto"/>
                <w:sz w:val="28"/>
                <w:szCs w:val="28"/>
                <w:highlight w:val="none"/>
              </w:rPr>
            </w:pPr>
          </w:p>
          <w:p>
            <w:pPr>
              <w:spacing w:line="32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我单位对</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eastAsia="zh-CN"/>
              </w:rPr>
              <w:t>亭城玺悦里基坑监测、沉降观测项目</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的招标文件进行确认。</w:t>
            </w:r>
          </w:p>
          <w:p>
            <w:pPr>
              <w:spacing w:line="320" w:lineRule="atLeast"/>
              <w:ind w:firstLine="560" w:firstLineChars="200"/>
              <w:rPr>
                <w:rFonts w:ascii="仿宋" w:hAnsi="仿宋" w:eastAsia="仿宋" w:cs="仿宋"/>
                <w:color w:val="auto"/>
                <w:sz w:val="28"/>
                <w:szCs w:val="28"/>
                <w:highlight w:val="none"/>
              </w:rPr>
            </w:pPr>
          </w:p>
          <w:p>
            <w:pPr>
              <w:spacing w:line="320" w:lineRule="atLeas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招标人：滁州市鑫鼎城市更新建设运营有限公司 </w:t>
            </w:r>
          </w:p>
          <w:p>
            <w:pPr>
              <w:spacing w:line="320" w:lineRule="atLeas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w:t>
            </w:r>
            <w:r>
              <w:rPr>
                <w:rFonts w:hint="eastAsia" w:ascii="仿宋" w:hAnsi="仿宋" w:eastAsia="仿宋" w:cs="仿宋"/>
                <w:color w:val="auto"/>
                <w:sz w:val="28"/>
                <w:szCs w:val="28"/>
                <w:highlight w:val="none"/>
                <w:lang w:val="en-US" w:eastAsia="zh-CN"/>
              </w:rPr>
              <w:t>张乐</w:t>
            </w:r>
          </w:p>
          <w:p>
            <w:pPr>
              <w:spacing w:line="320" w:lineRule="atLeas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联系方式： 18855007682 </w:t>
            </w:r>
          </w:p>
          <w:p>
            <w:pPr>
              <w:spacing w:line="500" w:lineRule="exact"/>
              <w:ind w:firstLine="281" w:firstLineChars="100"/>
              <w:rPr>
                <w:rFonts w:ascii="仿宋" w:hAnsi="仿宋" w:eastAsia="仿宋" w:cs="仿宋"/>
                <w:b/>
                <w:bCs/>
                <w:color w:val="auto"/>
                <w:sz w:val="28"/>
                <w:szCs w:val="28"/>
                <w:highlight w:val="none"/>
              </w:rPr>
            </w:pPr>
          </w:p>
          <w:p>
            <w:pPr>
              <w:spacing w:line="500" w:lineRule="exact"/>
              <w:ind w:firstLine="280" w:firstLineChars="100"/>
              <w:rPr>
                <w:rFonts w:ascii="仿宋" w:hAnsi="仿宋" w:eastAsia="仿宋" w:cs="仿宋"/>
                <w:color w:val="auto"/>
                <w:sz w:val="28"/>
                <w:szCs w:val="28"/>
                <w:highlight w:val="none"/>
              </w:rPr>
            </w:pP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（单位盖章）</w:t>
            </w:r>
          </w:p>
          <w:p>
            <w:pPr>
              <w:ind w:firstLine="5320" w:firstLineChars="1900"/>
              <w:rPr>
                <w:rFonts w:hint="eastAsia" w:ascii="仿宋" w:hAnsi="仿宋" w:eastAsia="仿宋" w:cs="仿宋"/>
                <w:color w:val="auto"/>
                <w:sz w:val="28"/>
                <w:szCs w:val="28"/>
                <w:highlight w:val="none"/>
                <w:lang w:val="en-US" w:eastAsia="zh-CN"/>
              </w:rPr>
            </w:pPr>
            <w:r>
              <w:rPr>
                <w:rFonts w:ascii="仿宋" w:hAnsi="仿宋" w:eastAsia="仿宋" w:cs="仿宋"/>
                <w:color w:val="auto"/>
                <w:sz w:val="28"/>
                <w:szCs w:val="28"/>
                <w:highlight w:val="none"/>
              </w:rPr>
              <w:t xml:space="preserve"> 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456" w:type="dxa"/>
          </w:tcPr>
          <w:p>
            <w:pPr>
              <w:spacing w:line="320" w:lineRule="atLeast"/>
              <w:ind w:firstLine="560" w:firstLineChars="200"/>
              <w:rPr>
                <w:rFonts w:ascii="仿宋" w:hAnsi="仿宋" w:eastAsia="仿宋" w:cs="仿宋"/>
                <w:color w:val="auto"/>
                <w:sz w:val="28"/>
                <w:szCs w:val="28"/>
                <w:highlight w:val="none"/>
              </w:rPr>
            </w:pPr>
          </w:p>
          <w:p>
            <w:pPr>
              <w:spacing w:line="32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招标代理机构：滁州市城投工程咨询管理有限公司</w:t>
            </w:r>
          </w:p>
          <w:p>
            <w:pPr>
              <w:spacing w:line="32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r>
              <w:rPr>
                <w:rFonts w:hint="eastAsia" w:ascii="仿宋" w:hAnsi="仿宋" w:eastAsia="仿宋" w:cs="仿宋"/>
                <w:color w:val="auto"/>
                <w:sz w:val="28"/>
                <w:szCs w:val="28"/>
                <w:highlight w:val="none"/>
                <w:lang w:val="en-US" w:eastAsia="zh-CN"/>
              </w:rPr>
              <w:t>田甜</w:t>
            </w:r>
            <w:r>
              <w:rPr>
                <w:rFonts w:ascii="仿宋" w:hAnsi="仿宋" w:eastAsia="仿宋" w:cs="仿宋"/>
                <w:color w:val="auto"/>
                <w:sz w:val="28"/>
                <w:szCs w:val="28"/>
                <w:highlight w:val="none"/>
              </w:rPr>
              <w:t xml:space="preserve"> </w:t>
            </w:r>
          </w:p>
          <w:p>
            <w:pPr>
              <w:spacing w:line="320" w:lineRule="atLeas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联系电话：</w:t>
            </w:r>
            <w:r>
              <w:rPr>
                <w:rFonts w:ascii="仿宋" w:hAnsi="仿宋" w:eastAsia="仿宋" w:cs="仿宋"/>
                <w:color w:val="auto"/>
                <w:sz w:val="28"/>
                <w:szCs w:val="28"/>
                <w:highlight w:val="none"/>
              </w:rPr>
              <w:t xml:space="preserve"> 0550-35195</w:t>
            </w:r>
            <w:r>
              <w:rPr>
                <w:rFonts w:hint="eastAsia" w:ascii="仿宋" w:hAnsi="仿宋" w:eastAsia="仿宋" w:cs="仿宋"/>
                <w:color w:val="auto"/>
                <w:sz w:val="28"/>
                <w:szCs w:val="28"/>
                <w:highlight w:val="none"/>
                <w:lang w:val="en-US" w:eastAsia="zh-CN"/>
              </w:rPr>
              <w:t>19</w:t>
            </w:r>
            <w:r>
              <w:rPr>
                <w:rFonts w:ascii="仿宋" w:hAnsi="仿宋" w:eastAsia="仿宋" w:cs="仿宋"/>
                <w:color w:val="auto"/>
                <w:sz w:val="28"/>
                <w:szCs w:val="28"/>
                <w:highlight w:val="none"/>
              </w:rPr>
              <w:t xml:space="preserve">   1</w:t>
            </w:r>
            <w:r>
              <w:rPr>
                <w:rFonts w:hint="eastAsia" w:ascii="仿宋" w:hAnsi="仿宋" w:eastAsia="仿宋" w:cs="仿宋"/>
                <w:color w:val="auto"/>
                <w:sz w:val="28"/>
                <w:szCs w:val="28"/>
                <w:highlight w:val="none"/>
                <w:lang w:val="en-US" w:eastAsia="zh-CN"/>
              </w:rPr>
              <w:t>5955005370</w:t>
            </w:r>
          </w:p>
          <w:p>
            <w:pPr>
              <w:rPr>
                <w:rFonts w:ascii="仿宋" w:hAnsi="仿宋" w:eastAsia="仿宋" w:cs="仿宋"/>
                <w:color w:val="auto"/>
                <w:sz w:val="28"/>
                <w:szCs w:val="28"/>
                <w:highlight w:val="none"/>
              </w:rPr>
            </w:pPr>
          </w:p>
          <w:p>
            <w:pPr>
              <w:ind w:firstLine="5040" w:firstLineChars="1800"/>
              <w:rPr>
                <w:rFonts w:ascii="仿宋" w:hAnsi="仿宋" w:eastAsia="仿宋" w:cs="仿宋"/>
                <w:color w:val="auto"/>
                <w:sz w:val="28"/>
                <w:szCs w:val="28"/>
                <w:highlight w:val="none"/>
              </w:rPr>
            </w:pP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（单位盖章）</w:t>
            </w:r>
          </w:p>
          <w:p>
            <w:pPr>
              <w:ind w:firstLine="4900" w:firstLineChars="1750"/>
              <w:rPr>
                <w:rFonts w:hint="default" w:ascii="仿宋" w:hAnsi="仿宋" w:eastAsia="仿宋" w:cs="仿宋"/>
                <w:color w:val="auto"/>
                <w:sz w:val="28"/>
                <w:szCs w:val="28"/>
                <w:highlight w:val="none"/>
                <w:lang w:val="en-US" w:eastAsia="zh-CN"/>
              </w:rPr>
            </w:pPr>
            <w:r>
              <w:rPr>
                <w:rFonts w:ascii="仿宋" w:hAnsi="仿宋" w:eastAsia="仿宋" w:cs="仿宋"/>
                <w:color w:val="auto"/>
                <w:sz w:val="28"/>
                <w:szCs w:val="28"/>
                <w:highlight w:val="none"/>
              </w:rPr>
              <w:t xml:space="preserve">    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26</w:t>
            </w:r>
            <w:bookmarkStart w:id="18" w:name="_GoBack"/>
            <w:bookmarkEnd w:id="18"/>
            <w:r>
              <w:rPr>
                <w:rFonts w:hint="eastAsia" w:ascii="仿宋" w:hAnsi="仿宋" w:eastAsia="仿宋" w:cs="仿宋"/>
                <w:color w:val="auto"/>
                <w:sz w:val="28"/>
                <w:szCs w:val="28"/>
                <w:highlight w:val="none"/>
                <w:lang w:val="en-US" w:eastAsia="zh-CN"/>
              </w:rPr>
              <w:t>日</w:t>
            </w:r>
          </w:p>
        </w:tc>
      </w:tr>
    </w:tbl>
    <w:p>
      <w:pPr>
        <w:pStyle w:val="20"/>
        <w:jc w:val="left"/>
        <w:rPr>
          <w:rFonts w:ascii="仿宋" w:hAnsi="仿宋" w:eastAsia="仿宋" w:cs="仿宋"/>
          <w:color w:val="auto"/>
          <w:kern w:val="0"/>
          <w:sz w:val="24"/>
          <w:szCs w:val="24"/>
          <w:highlight w:val="none"/>
        </w:rPr>
      </w:pPr>
    </w:p>
    <w:p>
      <w:pPr>
        <w:pStyle w:val="20"/>
        <w:jc w:val="left"/>
        <w:rPr>
          <w:rFonts w:ascii="仿宋" w:hAnsi="仿宋" w:eastAsia="仿宋" w:cs="仿宋"/>
          <w:color w:val="auto"/>
          <w:kern w:val="0"/>
          <w:sz w:val="24"/>
          <w:szCs w:val="24"/>
          <w:highlight w:val="none"/>
        </w:rPr>
      </w:pPr>
    </w:p>
    <w:p>
      <w:pPr>
        <w:pStyle w:val="20"/>
        <w:jc w:val="left"/>
        <w:rPr>
          <w:rFonts w:ascii="仿宋" w:hAnsi="仿宋" w:eastAsia="仿宋" w:cs="仿宋"/>
          <w:color w:val="auto"/>
          <w:kern w:val="0"/>
          <w:sz w:val="24"/>
          <w:szCs w:val="24"/>
          <w:highlight w:val="none"/>
        </w:rPr>
      </w:pPr>
    </w:p>
    <w:p>
      <w:pPr>
        <w:pStyle w:val="20"/>
        <w:jc w:val="left"/>
        <w:rPr>
          <w:rFonts w:ascii="仿宋" w:hAnsi="仿宋" w:eastAsia="仿宋" w:cs="仿宋"/>
          <w:color w:val="auto"/>
          <w:kern w:val="0"/>
          <w:sz w:val="24"/>
          <w:szCs w:val="24"/>
          <w:highlight w:val="none"/>
        </w:rPr>
      </w:pPr>
    </w:p>
    <w:p>
      <w:pPr>
        <w:pStyle w:val="20"/>
        <w:jc w:val="left"/>
        <w:rPr>
          <w:rFonts w:ascii="仿宋" w:hAnsi="仿宋" w:eastAsia="仿宋" w:cs="仿宋"/>
          <w:color w:val="auto"/>
          <w:kern w:val="0"/>
          <w:sz w:val="24"/>
          <w:szCs w:val="24"/>
          <w:highlight w:val="none"/>
        </w:rPr>
      </w:pPr>
    </w:p>
    <w:p>
      <w:pPr>
        <w:pStyle w:val="20"/>
        <w:jc w:val="left"/>
        <w:rPr>
          <w:rFonts w:ascii="仿宋" w:hAnsi="仿宋" w:eastAsia="仿宋" w:cs="仿宋"/>
          <w:color w:val="auto"/>
          <w:kern w:val="0"/>
          <w:sz w:val="24"/>
          <w:szCs w:val="24"/>
          <w:highlight w:val="none"/>
        </w:rPr>
      </w:pPr>
    </w:p>
    <w:p>
      <w:pPr>
        <w:pStyle w:val="20"/>
        <w:jc w:val="left"/>
        <w:rPr>
          <w:rFonts w:hint="eastAsia" w:ascii="仿宋" w:hAnsi="仿宋" w:eastAsia="仿宋" w:cs="仿宋"/>
          <w:color w:val="auto"/>
          <w:kern w:val="0"/>
          <w:sz w:val="24"/>
          <w:szCs w:val="24"/>
          <w:highlight w:val="none"/>
          <w:lang w:eastAsia="zh-CN"/>
        </w:rPr>
      </w:pPr>
    </w:p>
    <w:sectPr>
      <w:footerReference r:id="rId10" w:type="default"/>
      <w:pgSz w:w="11906" w:h="16838"/>
      <w:pgMar w:top="935" w:right="1106" w:bottom="936" w:left="1259" w:header="680" w:footer="680" w:gutter="0"/>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1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51"/>
      </w:rPr>
    </w:pPr>
  </w:p>
  <w:p>
    <w:pPr>
      <w:pStyle w:val="31"/>
      <w:ind w:right="360"/>
      <w:rPr>
        <w:kern w:val="0"/>
      </w:rPr>
    </w:pPr>
    <w:r>
      <mc:AlternateContent>
        <mc:Choice Requires="wps">
          <w:drawing>
            <wp:anchor distT="0" distB="0" distL="114300" distR="114300" simplePos="0" relativeHeight="251660288"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2"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0288;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Bcxk6a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WlDhuceDn&#10;79/OP36df36tsztDiA0mPYR7mHcRYZY6KrD5iyLIWBw9XR2VYyICg1W9ulm9uaFE4Fn1dlXVxXL2&#10;eDtATO+ktySDlgJOrBjJjx9iwoqYeknJxZy/08aUqRn3VwATp4gsY59v5/anhjNK426cVex8d0Ll&#10;5r1DN/PLuAC4gN0FHALofY/NVdkQlolwGqW1+eXkcf+5L1mPf8v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Bcxk6a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7483"/>
        <w:tab w:val="clear" w:pos="415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51"/>
      </w:rPr>
    </w:pPr>
  </w:p>
  <w:p>
    <w:pPr>
      <w:pStyle w:val="31"/>
      <w:ind w:right="360"/>
      <w:rPr>
        <w:kern w:val="0"/>
      </w:rPr>
    </w:pPr>
    <w:r>
      <mc:AlternateContent>
        <mc:Choice Requires="wps">
          <w:drawing>
            <wp:anchor distT="0" distB="0" distL="114300" distR="114300" simplePos="0" relativeHeight="251661312"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5"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1312;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QQliK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eUOK4xYGf&#10;v387//h1/vm1zu4MITaY9BDuYd5FhFnqqMDmL4ogY3H0dHVUjokIDFb16mb1BqkFnlVvV1VdLGeP&#10;twPE9E56SzJoKeDEipH8+CEmrIipl5RczPk7bUyZmnF/BTBxisgy9vl2bn9qOKM07sZZxc53J1Ru&#10;3jt0M7+MC4AL2F3AIYDe99hclQ1hmQinUVqbX04e95/7kvX4t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QQliK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7483"/>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pPr>
                          <w:r>
                            <w:fldChar w:fldCharType="begin"/>
                          </w:r>
                          <w:r>
                            <w:instrText xml:space="preserve"> PAGE  \* MERGEFORMAT </w:instrText>
                          </w:r>
                          <w:r>
                            <w:fldChar w:fldCharType="separate"/>
                          </w:r>
                          <w:r>
                            <w:t></w:t>
                          </w:r>
                          <w: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mK+1NABAACqAwAADgAAAAAAAAABACAAAAAeAQAAZHJz&#10;L2Uyb0RvYy54bWxQSwUGAAAAAAYABgBZAQAAYAU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w:t>
                    </w:r>
                    <w: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p>
    <w:pPr>
      <w:pStyle w:val="31"/>
      <w:jc w:val="center"/>
      <w:rPr>
        <w:color w:val="FFFFF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51"/>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19</w:t>
                    </w:r>
                    <w:r>
                      <w:fldChar w:fldCharType="end"/>
                    </w:r>
                  </w:p>
                </w:txbxContent>
              </v:textbox>
            </v:shape>
          </w:pict>
        </mc:Fallback>
      </mc:AlternateContent>
    </w:r>
  </w:p>
  <w:p>
    <w:pPr>
      <w:pStyle w:val="31"/>
      <w:ind w:right="360"/>
      <w:rPr>
        <w:kern w:val="0"/>
      </w:rPr>
    </w:pPr>
    <w:r>
      <mc:AlternateContent>
        <mc:Choice Requires="wps">
          <w:drawing>
            <wp:anchor distT="0" distB="0" distL="114300" distR="114300" simplePos="0" relativeHeight="251662336"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8"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2336;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ipzAr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i2B23OPDz&#10;92/nH7/OP7/W2Z0hxAaTHsI9zLuIMEsdFdj8RRFkLI6ero7KMRGBwape3aze3FAi8Kx6u6rqYjl7&#10;vB0gpnfSW5JBSwEnVozkxw8xYUVMvaTkYs7faWPK1Iz7K4CJU0SWsc+3c/tTwxmlcTfOKna+O6Fy&#10;896hm/llXABcwO4CDgH0vsfmqmwIy0Q4jdLa/HLyuP/cl6zHv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ipzAr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81FA4"/>
    <w:multiLevelType w:val="singleLevel"/>
    <w:tmpl w:val="EC781FA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YTFmZDFmMTFjY2NkMGUwYzY0MDlmZWZhNmRjZWUifQ=="/>
  </w:docVars>
  <w:rsids>
    <w:rsidRoot w:val="00277DEA"/>
    <w:rsid w:val="000407AC"/>
    <w:rsid w:val="00040A78"/>
    <w:rsid w:val="00057816"/>
    <w:rsid w:val="000E13AD"/>
    <w:rsid w:val="00131FFF"/>
    <w:rsid w:val="00135312"/>
    <w:rsid w:val="00144E2C"/>
    <w:rsid w:val="001643AB"/>
    <w:rsid w:val="0016450D"/>
    <w:rsid w:val="001A591F"/>
    <w:rsid w:val="001C6848"/>
    <w:rsid w:val="001D4B0B"/>
    <w:rsid w:val="001F10F0"/>
    <w:rsid w:val="00217AF2"/>
    <w:rsid w:val="00217EB9"/>
    <w:rsid w:val="00217FF1"/>
    <w:rsid w:val="0023383D"/>
    <w:rsid w:val="00252D6D"/>
    <w:rsid w:val="00253B24"/>
    <w:rsid w:val="00270071"/>
    <w:rsid w:val="002740D6"/>
    <w:rsid w:val="00274549"/>
    <w:rsid w:val="00277DEA"/>
    <w:rsid w:val="002A2969"/>
    <w:rsid w:val="002C40D1"/>
    <w:rsid w:val="002E76AA"/>
    <w:rsid w:val="002F38FE"/>
    <w:rsid w:val="00313EF1"/>
    <w:rsid w:val="00332C02"/>
    <w:rsid w:val="00336837"/>
    <w:rsid w:val="00370095"/>
    <w:rsid w:val="0037519A"/>
    <w:rsid w:val="003776B6"/>
    <w:rsid w:val="003A3D22"/>
    <w:rsid w:val="003D00F9"/>
    <w:rsid w:val="003E18D3"/>
    <w:rsid w:val="003E616C"/>
    <w:rsid w:val="004108BC"/>
    <w:rsid w:val="00410ABB"/>
    <w:rsid w:val="00411EFB"/>
    <w:rsid w:val="00430081"/>
    <w:rsid w:val="0045352B"/>
    <w:rsid w:val="004806E1"/>
    <w:rsid w:val="004943F2"/>
    <w:rsid w:val="004D7A32"/>
    <w:rsid w:val="004F10A4"/>
    <w:rsid w:val="004F5FF3"/>
    <w:rsid w:val="00523372"/>
    <w:rsid w:val="00544FBB"/>
    <w:rsid w:val="00555AF7"/>
    <w:rsid w:val="00587AEB"/>
    <w:rsid w:val="005D26BD"/>
    <w:rsid w:val="005F02AC"/>
    <w:rsid w:val="005F4D1F"/>
    <w:rsid w:val="006008C2"/>
    <w:rsid w:val="00600A1A"/>
    <w:rsid w:val="00613B3B"/>
    <w:rsid w:val="00635236"/>
    <w:rsid w:val="00640C59"/>
    <w:rsid w:val="006412B4"/>
    <w:rsid w:val="00643128"/>
    <w:rsid w:val="006B2CC6"/>
    <w:rsid w:val="006E2124"/>
    <w:rsid w:val="006E24A2"/>
    <w:rsid w:val="006F1EB8"/>
    <w:rsid w:val="00762DC1"/>
    <w:rsid w:val="007701C5"/>
    <w:rsid w:val="0077045D"/>
    <w:rsid w:val="007E581B"/>
    <w:rsid w:val="008052CD"/>
    <w:rsid w:val="008057AF"/>
    <w:rsid w:val="00806B50"/>
    <w:rsid w:val="00806DEB"/>
    <w:rsid w:val="008706BB"/>
    <w:rsid w:val="008801B2"/>
    <w:rsid w:val="008B45BE"/>
    <w:rsid w:val="008B6AF2"/>
    <w:rsid w:val="008C044F"/>
    <w:rsid w:val="008C7B90"/>
    <w:rsid w:val="008E0BFB"/>
    <w:rsid w:val="008F24D9"/>
    <w:rsid w:val="009148C9"/>
    <w:rsid w:val="00916805"/>
    <w:rsid w:val="0093540E"/>
    <w:rsid w:val="009430F7"/>
    <w:rsid w:val="009548E3"/>
    <w:rsid w:val="009D69A7"/>
    <w:rsid w:val="009E2CB7"/>
    <w:rsid w:val="009F052A"/>
    <w:rsid w:val="009F2331"/>
    <w:rsid w:val="00A109CD"/>
    <w:rsid w:val="00A364A9"/>
    <w:rsid w:val="00A74A67"/>
    <w:rsid w:val="00A92252"/>
    <w:rsid w:val="00A95FC8"/>
    <w:rsid w:val="00AA6310"/>
    <w:rsid w:val="00B21B8E"/>
    <w:rsid w:val="00B3371B"/>
    <w:rsid w:val="00B5033A"/>
    <w:rsid w:val="00B86725"/>
    <w:rsid w:val="00BB5EA4"/>
    <w:rsid w:val="00BC093E"/>
    <w:rsid w:val="00C04D5A"/>
    <w:rsid w:val="00C522F7"/>
    <w:rsid w:val="00C56491"/>
    <w:rsid w:val="00C77D9B"/>
    <w:rsid w:val="00C959B4"/>
    <w:rsid w:val="00CA283F"/>
    <w:rsid w:val="00CB14DC"/>
    <w:rsid w:val="00CC06A5"/>
    <w:rsid w:val="00CD2E86"/>
    <w:rsid w:val="00CD6B6D"/>
    <w:rsid w:val="00CF2E1F"/>
    <w:rsid w:val="00CF524A"/>
    <w:rsid w:val="00CF5B3F"/>
    <w:rsid w:val="00D05A15"/>
    <w:rsid w:val="00D07052"/>
    <w:rsid w:val="00D2599B"/>
    <w:rsid w:val="00D27C1C"/>
    <w:rsid w:val="00D32138"/>
    <w:rsid w:val="00D50ADE"/>
    <w:rsid w:val="00D50E64"/>
    <w:rsid w:val="00D67520"/>
    <w:rsid w:val="00D74DB0"/>
    <w:rsid w:val="00D75D04"/>
    <w:rsid w:val="00D862EF"/>
    <w:rsid w:val="00DD408F"/>
    <w:rsid w:val="00DE23F0"/>
    <w:rsid w:val="00E13C49"/>
    <w:rsid w:val="00E3458D"/>
    <w:rsid w:val="00EB6A15"/>
    <w:rsid w:val="00EC6F26"/>
    <w:rsid w:val="00EC6F84"/>
    <w:rsid w:val="00EC7414"/>
    <w:rsid w:val="00EE5A0A"/>
    <w:rsid w:val="00EE7AEC"/>
    <w:rsid w:val="00F10FD4"/>
    <w:rsid w:val="00F12999"/>
    <w:rsid w:val="00F16AA1"/>
    <w:rsid w:val="00F407A6"/>
    <w:rsid w:val="00F738CB"/>
    <w:rsid w:val="00F82A9A"/>
    <w:rsid w:val="00F83340"/>
    <w:rsid w:val="00FB2776"/>
    <w:rsid w:val="00FD0DE5"/>
    <w:rsid w:val="00FE4E55"/>
    <w:rsid w:val="00FF64C5"/>
    <w:rsid w:val="010C450B"/>
    <w:rsid w:val="02860CE1"/>
    <w:rsid w:val="02A06DF6"/>
    <w:rsid w:val="03311B51"/>
    <w:rsid w:val="035607B0"/>
    <w:rsid w:val="035A0B08"/>
    <w:rsid w:val="03DD3435"/>
    <w:rsid w:val="045521C0"/>
    <w:rsid w:val="04880F3B"/>
    <w:rsid w:val="04BB1052"/>
    <w:rsid w:val="05113A39"/>
    <w:rsid w:val="07023E8A"/>
    <w:rsid w:val="073060B3"/>
    <w:rsid w:val="073F34F8"/>
    <w:rsid w:val="08A47722"/>
    <w:rsid w:val="08EE1782"/>
    <w:rsid w:val="094625ED"/>
    <w:rsid w:val="098C0FAE"/>
    <w:rsid w:val="0A1370D9"/>
    <w:rsid w:val="0A3017F9"/>
    <w:rsid w:val="0A783487"/>
    <w:rsid w:val="0A920A74"/>
    <w:rsid w:val="0B3B4932"/>
    <w:rsid w:val="0B8A5AE2"/>
    <w:rsid w:val="0BA06A0A"/>
    <w:rsid w:val="0C460641"/>
    <w:rsid w:val="0CDE4AF1"/>
    <w:rsid w:val="0D2F7233"/>
    <w:rsid w:val="0DB0649C"/>
    <w:rsid w:val="0E2234E7"/>
    <w:rsid w:val="0E832759"/>
    <w:rsid w:val="0F895718"/>
    <w:rsid w:val="0F8E53AD"/>
    <w:rsid w:val="11731E51"/>
    <w:rsid w:val="127E0B34"/>
    <w:rsid w:val="12C34E9D"/>
    <w:rsid w:val="137A735A"/>
    <w:rsid w:val="13B24508"/>
    <w:rsid w:val="142E658A"/>
    <w:rsid w:val="143F69DA"/>
    <w:rsid w:val="148111FB"/>
    <w:rsid w:val="15D60886"/>
    <w:rsid w:val="15ED33A3"/>
    <w:rsid w:val="16A220B2"/>
    <w:rsid w:val="16AB249D"/>
    <w:rsid w:val="18417A35"/>
    <w:rsid w:val="19AD5CBE"/>
    <w:rsid w:val="19BC302E"/>
    <w:rsid w:val="1A33331F"/>
    <w:rsid w:val="1AF847D0"/>
    <w:rsid w:val="1C136BB6"/>
    <w:rsid w:val="1C2C0216"/>
    <w:rsid w:val="1C4B5EA8"/>
    <w:rsid w:val="1D502DF1"/>
    <w:rsid w:val="1E1554ED"/>
    <w:rsid w:val="1F822F2C"/>
    <w:rsid w:val="207B6E01"/>
    <w:rsid w:val="20BD4367"/>
    <w:rsid w:val="20D64E62"/>
    <w:rsid w:val="2165554F"/>
    <w:rsid w:val="22446C29"/>
    <w:rsid w:val="22622886"/>
    <w:rsid w:val="23B802A0"/>
    <w:rsid w:val="24961F6E"/>
    <w:rsid w:val="26252182"/>
    <w:rsid w:val="265E174C"/>
    <w:rsid w:val="2686038F"/>
    <w:rsid w:val="28C72B2B"/>
    <w:rsid w:val="2A241E9E"/>
    <w:rsid w:val="2A875297"/>
    <w:rsid w:val="2C874AAF"/>
    <w:rsid w:val="2C8E66A6"/>
    <w:rsid w:val="2CAF5168"/>
    <w:rsid w:val="2CBB47F9"/>
    <w:rsid w:val="2D4A1910"/>
    <w:rsid w:val="2D611888"/>
    <w:rsid w:val="2D731FB6"/>
    <w:rsid w:val="2DED34CC"/>
    <w:rsid w:val="2EFD1D1D"/>
    <w:rsid w:val="2F3A186E"/>
    <w:rsid w:val="2F3B2F8F"/>
    <w:rsid w:val="2F3D1C08"/>
    <w:rsid w:val="2F635E07"/>
    <w:rsid w:val="2FC42E20"/>
    <w:rsid w:val="301E6878"/>
    <w:rsid w:val="31297DB2"/>
    <w:rsid w:val="32852601"/>
    <w:rsid w:val="332433C5"/>
    <w:rsid w:val="3376156C"/>
    <w:rsid w:val="348E387D"/>
    <w:rsid w:val="35A46FAE"/>
    <w:rsid w:val="37F05781"/>
    <w:rsid w:val="37F33E90"/>
    <w:rsid w:val="398960D8"/>
    <w:rsid w:val="3A066436"/>
    <w:rsid w:val="3A2516BB"/>
    <w:rsid w:val="3A5F4485"/>
    <w:rsid w:val="3AFB4323"/>
    <w:rsid w:val="3B3C635C"/>
    <w:rsid w:val="3B563000"/>
    <w:rsid w:val="3CCB04A6"/>
    <w:rsid w:val="3CD37326"/>
    <w:rsid w:val="3DDB658B"/>
    <w:rsid w:val="3EED354E"/>
    <w:rsid w:val="3F173AB4"/>
    <w:rsid w:val="3F7A539C"/>
    <w:rsid w:val="3FB5783A"/>
    <w:rsid w:val="404B0923"/>
    <w:rsid w:val="405857FB"/>
    <w:rsid w:val="408338D7"/>
    <w:rsid w:val="41510996"/>
    <w:rsid w:val="42147451"/>
    <w:rsid w:val="43881670"/>
    <w:rsid w:val="43E82525"/>
    <w:rsid w:val="44A8055A"/>
    <w:rsid w:val="44BA68F8"/>
    <w:rsid w:val="45AF30FD"/>
    <w:rsid w:val="465B3014"/>
    <w:rsid w:val="46BC2AFB"/>
    <w:rsid w:val="472F5293"/>
    <w:rsid w:val="47905EE7"/>
    <w:rsid w:val="47DB0FE0"/>
    <w:rsid w:val="485A4022"/>
    <w:rsid w:val="4886767F"/>
    <w:rsid w:val="48986B3F"/>
    <w:rsid w:val="49B66251"/>
    <w:rsid w:val="4A452406"/>
    <w:rsid w:val="4BA92343"/>
    <w:rsid w:val="4BB93099"/>
    <w:rsid w:val="4C1230A0"/>
    <w:rsid w:val="4C983030"/>
    <w:rsid w:val="4D4D2EE2"/>
    <w:rsid w:val="4F3A75B6"/>
    <w:rsid w:val="4F8A1859"/>
    <w:rsid w:val="4FE958A7"/>
    <w:rsid w:val="502D24E4"/>
    <w:rsid w:val="511E5BAD"/>
    <w:rsid w:val="51BC2AE8"/>
    <w:rsid w:val="51C61D96"/>
    <w:rsid w:val="528D5C4E"/>
    <w:rsid w:val="52CE5689"/>
    <w:rsid w:val="540B32CF"/>
    <w:rsid w:val="558A3D0F"/>
    <w:rsid w:val="569E5C28"/>
    <w:rsid w:val="57313D11"/>
    <w:rsid w:val="578D69F6"/>
    <w:rsid w:val="57BE1510"/>
    <w:rsid w:val="58984C16"/>
    <w:rsid w:val="5950697A"/>
    <w:rsid w:val="595E0345"/>
    <w:rsid w:val="599A4762"/>
    <w:rsid w:val="5B5877E2"/>
    <w:rsid w:val="5B8E0A22"/>
    <w:rsid w:val="5BCD3412"/>
    <w:rsid w:val="5BE3458F"/>
    <w:rsid w:val="5D12474B"/>
    <w:rsid w:val="5DD0286D"/>
    <w:rsid w:val="5E2F4302"/>
    <w:rsid w:val="5E8C12D3"/>
    <w:rsid w:val="5EA6784A"/>
    <w:rsid w:val="5EEA0F2A"/>
    <w:rsid w:val="5F681281"/>
    <w:rsid w:val="5F9D1CA2"/>
    <w:rsid w:val="5FD300DB"/>
    <w:rsid w:val="5FE25B93"/>
    <w:rsid w:val="608C59E7"/>
    <w:rsid w:val="60F9120D"/>
    <w:rsid w:val="61095D5D"/>
    <w:rsid w:val="61284751"/>
    <w:rsid w:val="61C422AA"/>
    <w:rsid w:val="62461009"/>
    <w:rsid w:val="642A0711"/>
    <w:rsid w:val="644A3AA8"/>
    <w:rsid w:val="655541D3"/>
    <w:rsid w:val="65594766"/>
    <w:rsid w:val="65A568B8"/>
    <w:rsid w:val="65AE22F3"/>
    <w:rsid w:val="66465782"/>
    <w:rsid w:val="670A4733"/>
    <w:rsid w:val="67DE5EA5"/>
    <w:rsid w:val="68DF308E"/>
    <w:rsid w:val="69077DF5"/>
    <w:rsid w:val="6A16299D"/>
    <w:rsid w:val="6AA9175D"/>
    <w:rsid w:val="6D0B604A"/>
    <w:rsid w:val="6DAC05BE"/>
    <w:rsid w:val="6F8373FF"/>
    <w:rsid w:val="6FDE7145"/>
    <w:rsid w:val="7025059A"/>
    <w:rsid w:val="70E90669"/>
    <w:rsid w:val="71E847F7"/>
    <w:rsid w:val="725809D6"/>
    <w:rsid w:val="726E061C"/>
    <w:rsid w:val="73875405"/>
    <w:rsid w:val="73B74532"/>
    <w:rsid w:val="74425F26"/>
    <w:rsid w:val="748F3650"/>
    <w:rsid w:val="74CC7CBB"/>
    <w:rsid w:val="75847F67"/>
    <w:rsid w:val="75D51D74"/>
    <w:rsid w:val="76DC7584"/>
    <w:rsid w:val="774E2667"/>
    <w:rsid w:val="78866113"/>
    <w:rsid w:val="78EA3B59"/>
    <w:rsid w:val="7AD8717E"/>
    <w:rsid w:val="7B11145D"/>
    <w:rsid w:val="7B360113"/>
    <w:rsid w:val="7C272A20"/>
    <w:rsid w:val="7C8660BD"/>
    <w:rsid w:val="7CA05978"/>
    <w:rsid w:val="7D2B0DAC"/>
    <w:rsid w:val="7D982F9D"/>
    <w:rsid w:val="7EE86560"/>
    <w:rsid w:val="7F09259F"/>
    <w:rsid w:val="7F2B6214"/>
    <w:rsid w:val="7F851177"/>
    <w:rsid w:val="7FBC5227"/>
    <w:rsid w:val="7FEE04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6"/>
    <w:autoRedefine/>
    <w:qFormat/>
    <w:uiPriority w:val="99"/>
    <w:pPr>
      <w:keepNext/>
      <w:keepLines/>
      <w:spacing w:before="340" w:after="330" w:line="360" w:lineRule="auto"/>
      <w:jc w:val="center"/>
      <w:outlineLvl w:val="0"/>
    </w:pPr>
    <w:rPr>
      <w:rFonts w:eastAsia="仿宋"/>
      <w:b/>
      <w:bCs/>
      <w:kern w:val="44"/>
      <w:sz w:val="30"/>
      <w:szCs w:val="44"/>
    </w:rPr>
  </w:style>
  <w:style w:type="paragraph" w:styleId="3">
    <w:name w:val="heading 2"/>
    <w:basedOn w:val="1"/>
    <w:next w:val="1"/>
    <w:link w:val="67"/>
    <w:autoRedefine/>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68"/>
    <w:autoRedefine/>
    <w:qFormat/>
    <w:uiPriority w:val="99"/>
    <w:pPr>
      <w:keepNext/>
      <w:keepLines/>
      <w:spacing w:before="260" w:after="260" w:line="416" w:lineRule="auto"/>
      <w:outlineLvl w:val="2"/>
    </w:pPr>
    <w:rPr>
      <w:b/>
      <w:bCs/>
      <w:sz w:val="32"/>
      <w:szCs w:val="32"/>
    </w:rPr>
  </w:style>
  <w:style w:type="paragraph" w:styleId="5">
    <w:name w:val="heading 4"/>
    <w:basedOn w:val="1"/>
    <w:next w:val="1"/>
    <w:link w:val="69"/>
    <w:autoRedefine/>
    <w:qFormat/>
    <w:uiPriority w:val="99"/>
    <w:pPr>
      <w:keepNext/>
      <w:keepLines/>
      <w:spacing w:before="280" w:after="290" w:line="372" w:lineRule="auto"/>
      <w:outlineLvl w:val="3"/>
    </w:pPr>
    <w:rPr>
      <w:rFonts w:ascii="Cambria" w:hAnsi="Cambria" w:cs="Cambria"/>
      <w:b/>
      <w:bCs/>
      <w:sz w:val="28"/>
      <w:szCs w:val="28"/>
    </w:rPr>
  </w:style>
  <w:style w:type="paragraph" w:styleId="6">
    <w:name w:val="heading 5"/>
    <w:basedOn w:val="1"/>
    <w:next w:val="1"/>
    <w:link w:val="70"/>
    <w:autoRedefine/>
    <w:qFormat/>
    <w:uiPriority w:val="99"/>
    <w:pPr>
      <w:keepNext/>
      <w:keepLines/>
      <w:spacing w:before="280" w:after="290" w:line="372" w:lineRule="auto"/>
      <w:outlineLvl w:val="4"/>
    </w:pPr>
    <w:rPr>
      <w:rFonts w:ascii="Calibri" w:hAnsi="Calibri" w:cs="Calibri"/>
      <w:b/>
      <w:bCs/>
      <w:sz w:val="28"/>
      <w:szCs w:val="28"/>
    </w:rPr>
  </w:style>
  <w:style w:type="paragraph" w:styleId="7">
    <w:name w:val="heading 6"/>
    <w:basedOn w:val="1"/>
    <w:next w:val="1"/>
    <w:link w:val="71"/>
    <w:autoRedefine/>
    <w:qFormat/>
    <w:uiPriority w:val="99"/>
    <w:pPr>
      <w:keepNext/>
      <w:keepLines/>
      <w:spacing w:before="240" w:after="64" w:line="317" w:lineRule="auto"/>
      <w:outlineLvl w:val="5"/>
    </w:pPr>
    <w:rPr>
      <w:rFonts w:ascii="Cambria" w:hAnsi="Cambria" w:cs="Cambria"/>
      <w:b/>
      <w:bCs/>
      <w:sz w:val="24"/>
      <w:szCs w:val="24"/>
    </w:rPr>
  </w:style>
  <w:style w:type="paragraph" w:styleId="8">
    <w:name w:val="heading 7"/>
    <w:basedOn w:val="1"/>
    <w:next w:val="1"/>
    <w:link w:val="72"/>
    <w:autoRedefine/>
    <w:qFormat/>
    <w:uiPriority w:val="99"/>
    <w:pPr>
      <w:keepNext/>
      <w:keepLines/>
      <w:spacing w:before="240" w:after="64" w:line="317" w:lineRule="auto"/>
      <w:outlineLvl w:val="6"/>
    </w:pPr>
    <w:rPr>
      <w:rFonts w:ascii="Calibri" w:hAnsi="Calibri" w:cs="Calibri"/>
      <w:b/>
      <w:bCs/>
      <w:sz w:val="24"/>
      <w:szCs w:val="24"/>
    </w:rPr>
  </w:style>
  <w:style w:type="paragraph" w:styleId="9">
    <w:name w:val="heading 8"/>
    <w:basedOn w:val="1"/>
    <w:next w:val="1"/>
    <w:link w:val="73"/>
    <w:autoRedefine/>
    <w:qFormat/>
    <w:uiPriority w:val="99"/>
    <w:pPr>
      <w:keepNext/>
      <w:keepLines/>
      <w:spacing w:before="240" w:after="64" w:line="317" w:lineRule="auto"/>
      <w:outlineLvl w:val="7"/>
    </w:pPr>
    <w:rPr>
      <w:rFonts w:ascii="Cambria" w:hAnsi="Cambria" w:cs="Cambria"/>
      <w:sz w:val="24"/>
      <w:szCs w:val="24"/>
    </w:rPr>
  </w:style>
  <w:style w:type="paragraph" w:styleId="10">
    <w:name w:val="heading 9"/>
    <w:basedOn w:val="1"/>
    <w:next w:val="1"/>
    <w:link w:val="74"/>
    <w:autoRedefine/>
    <w:qFormat/>
    <w:uiPriority w:val="99"/>
    <w:pPr>
      <w:keepNext/>
      <w:keepLines/>
      <w:spacing w:before="240" w:after="64" w:line="317" w:lineRule="auto"/>
      <w:outlineLvl w:val="8"/>
    </w:pPr>
    <w:rPr>
      <w:rFonts w:ascii="Cambria" w:hAnsi="Cambria" w:cs="Cambria"/>
    </w:rPr>
  </w:style>
  <w:style w:type="character" w:default="1" w:styleId="49">
    <w:name w:val="Default Paragraph Font"/>
    <w:autoRedefine/>
    <w:semiHidden/>
    <w:qFormat/>
    <w:uiPriority w:val="99"/>
  </w:style>
  <w:style w:type="table" w:default="1" w:styleId="4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semiHidden/>
    <w:qFormat/>
    <w:uiPriority w:val="99"/>
    <w:pPr>
      <w:ind w:left="2520" w:leftChars="1200"/>
    </w:pPr>
    <w:rPr>
      <w:rFonts w:ascii="Calibri" w:hAnsi="Calibri" w:cs="Calibri"/>
    </w:rPr>
  </w:style>
  <w:style w:type="paragraph" w:styleId="12">
    <w:name w:val="Normal Indent"/>
    <w:basedOn w:val="1"/>
    <w:next w:val="13"/>
    <w:autoRedefine/>
    <w:qFormat/>
    <w:uiPriority w:val="99"/>
    <w:pPr>
      <w:adjustRightInd w:val="0"/>
      <w:spacing w:line="360" w:lineRule="atLeast"/>
      <w:ind w:firstLine="482"/>
      <w:textAlignment w:val="baseline"/>
    </w:pPr>
    <w:rPr>
      <w:kern w:val="0"/>
      <w:sz w:val="24"/>
      <w:szCs w:val="24"/>
    </w:rPr>
  </w:style>
  <w:style w:type="paragraph" w:styleId="13">
    <w:name w:val="Body Text First Indent 2"/>
    <w:basedOn w:val="14"/>
    <w:next w:val="1"/>
    <w:link w:val="92"/>
    <w:autoRedefine/>
    <w:qFormat/>
    <w:uiPriority w:val="99"/>
    <w:pPr>
      <w:ind w:firstLine="420" w:firstLineChars="200"/>
    </w:pPr>
  </w:style>
  <w:style w:type="paragraph" w:styleId="14">
    <w:name w:val="Body Text Indent"/>
    <w:basedOn w:val="1"/>
    <w:next w:val="15"/>
    <w:link w:val="79"/>
    <w:autoRedefine/>
    <w:qFormat/>
    <w:uiPriority w:val="99"/>
    <w:pPr>
      <w:spacing w:line="500" w:lineRule="exact"/>
      <w:ind w:firstLine="538"/>
    </w:pPr>
    <w:rPr>
      <w:sz w:val="28"/>
      <w:szCs w:val="28"/>
    </w:rPr>
  </w:style>
  <w:style w:type="paragraph" w:styleId="15">
    <w:name w:val="envelope return"/>
    <w:basedOn w:val="1"/>
    <w:next w:val="11"/>
    <w:autoRedefine/>
    <w:qFormat/>
    <w:uiPriority w:val="99"/>
    <w:pPr>
      <w:snapToGrid w:val="0"/>
    </w:pPr>
    <w:rPr>
      <w:rFonts w:ascii="Arial" w:hAnsi="Arial"/>
    </w:rPr>
  </w:style>
  <w:style w:type="paragraph" w:styleId="16">
    <w:name w:val="caption"/>
    <w:basedOn w:val="1"/>
    <w:next w:val="1"/>
    <w:autoRedefine/>
    <w:qFormat/>
    <w:uiPriority w:val="99"/>
    <w:rPr>
      <w:rFonts w:ascii="Cambria" w:hAnsi="Cambria" w:eastAsia="黑体" w:cs="Cambria"/>
      <w:sz w:val="20"/>
      <w:szCs w:val="20"/>
    </w:rPr>
  </w:style>
  <w:style w:type="paragraph" w:styleId="17">
    <w:name w:val="Document Map"/>
    <w:basedOn w:val="1"/>
    <w:link w:val="75"/>
    <w:autoRedefine/>
    <w:semiHidden/>
    <w:qFormat/>
    <w:uiPriority w:val="99"/>
    <w:pPr>
      <w:shd w:val="clear" w:color="auto" w:fill="000080"/>
    </w:pPr>
    <w:rPr>
      <w:kern w:val="0"/>
      <w:sz w:val="20"/>
      <w:szCs w:val="20"/>
      <w:shd w:val="clear" w:color="auto" w:fill="000080"/>
    </w:rPr>
  </w:style>
  <w:style w:type="paragraph" w:styleId="18">
    <w:name w:val="annotation text"/>
    <w:basedOn w:val="1"/>
    <w:link w:val="76"/>
    <w:autoRedefine/>
    <w:semiHidden/>
    <w:qFormat/>
    <w:uiPriority w:val="99"/>
    <w:pPr>
      <w:jc w:val="left"/>
    </w:pPr>
  </w:style>
  <w:style w:type="paragraph" w:styleId="19">
    <w:name w:val="Body Text 3"/>
    <w:basedOn w:val="1"/>
    <w:link w:val="77"/>
    <w:autoRedefine/>
    <w:qFormat/>
    <w:uiPriority w:val="99"/>
    <w:rPr>
      <w:rFonts w:ascii="宋体" w:cs="宋体"/>
      <w:sz w:val="24"/>
      <w:szCs w:val="24"/>
    </w:rPr>
  </w:style>
  <w:style w:type="paragraph" w:styleId="20">
    <w:name w:val="Body Text"/>
    <w:basedOn w:val="1"/>
    <w:next w:val="21"/>
    <w:link w:val="78"/>
    <w:autoRedefine/>
    <w:qFormat/>
    <w:uiPriority w:val="99"/>
    <w:pPr>
      <w:jc w:val="center"/>
    </w:pPr>
    <w:rPr>
      <w:b/>
      <w:bCs/>
      <w:sz w:val="44"/>
      <w:szCs w:val="44"/>
    </w:rPr>
  </w:style>
  <w:style w:type="paragraph" w:customStyle="1" w:styleId="21">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22">
    <w:name w:val="Block Text"/>
    <w:basedOn w:val="1"/>
    <w:autoRedefine/>
    <w:qFormat/>
    <w:uiPriority w:val="99"/>
    <w:pPr>
      <w:spacing w:line="400" w:lineRule="exact"/>
      <w:ind w:left="-359" w:leftChars="-171" w:right="31" w:rightChars="15" w:firstLine="980" w:firstLineChars="350"/>
    </w:pPr>
    <w:rPr>
      <w:rFonts w:ascii="宋体" w:hAnsi="宋体" w:cs="宋体"/>
      <w:sz w:val="28"/>
      <w:szCs w:val="28"/>
    </w:rPr>
  </w:style>
  <w:style w:type="paragraph" w:styleId="23">
    <w:name w:val="index 4"/>
    <w:basedOn w:val="1"/>
    <w:next w:val="1"/>
    <w:autoRedefine/>
    <w:semiHidden/>
    <w:qFormat/>
    <w:uiPriority w:val="99"/>
    <w:pPr>
      <w:ind w:left="600" w:leftChars="600"/>
    </w:pPr>
  </w:style>
  <w:style w:type="paragraph" w:styleId="24">
    <w:name w:val="toc 5"/>
    <w:basedOn w:val="1"/>
    <w:next w:val="1"/>
    <w:autoRedefine/>
    <w:semiHidden/>
    <w:qFormat/>
    <w:uiPriority w:val="99"/>
    <w:pPr>
      <w:tabs>
        <w:tab w:val="right" w:leader="dot" w:pos="8296"/>
      </w:tabs>
      <w:ind w:left="1050" w:leftChars="500"/>
    </w:pPr>
    <w:rPr>
      <w:rFonts w:ascii="Calibri" w:hAnsi="Calibri" w:cs="Calibri"/>
    </w:rPr>
  </w:style>
  <w:style w:type="paragraph" w:styleId="25">
    <w:name w:val="toc 3"/>
    <w:basedOn w:val="1"/>
    <w:next w:val="1"/>
    <w:autoRedefine/>
    <w:semiHidden/>
    <w:qFormat/>
    <w:uiPriority w:val="99"/>
    <w:pPr>
      <w:ind w:left="840" w:leftChars="400"/>
    </w:pPr>
    <w:rPr>
      <w:rFonts w:ascii="Calibri" w:hAnsi="Calibri" w:cs="Calibri"/>
    </w:rPr>
  </w:style>
  <w:style w:type="paragraph" w:styleId="26">
    <w:name w:val="Plain Text"/>
    <w:basedOn w:val="1"/>
    <w:link w:val="80"/>
    <w:autoRedefine/>
    <w:qFormat/>
    <w:uiPriority w:val="99"/>
    <w:rPr>
      <w:rFonts w:ascii="宋体" w:hAnsi="Courier New" w:cs="宋体"/>
    </w:rPr>
  </w:style>
  <w:style w:type="paragraph" w:styleId="27">
    <w:name w:val="toc 8"/>
    <w:basedOn w:val="1"/>
    <w:next w:val="1"/>
    <w:autoRedefine/>
    <w:semiHidden/>
    <w:qFormat/>
    <w:uiPriority w:val="99"/>
    <w:pPr>
      <w:ind w:left="2940" w:leftChars="1400"/>
    </w:pPr>
    <w:rPr>
      <w:rFonts w:ascii="Calibri" w:hAnsi="Calibri" w:cs="Calibri"/>
    </w:rPr>
  </w:style>
  <w:style w:type="paragraph" w:styleId="28">
    <w:name w:val="Date"/>
    <w:basedOn w:val="1"/>
    <w:next w:val="1"/>
    <w:link w:val="81"/>
    <w:autoRedefine/>
    <w:qFormat/>
    <w:uiPriority w:val="99"/>
    <w:rPr>
      <w:rFonts w:ascii="仿宋_GB2312" w:eastAsia="仿宋_GB2312" w:cs="仿宋_GB2312"/>
      <w:sz w:val="30"/>
      <w:szCs w:val="30"/>
    </w:rPr>
  </w:style>
  <w:style w:type="paragraph" w:styleId="29">
    <w:name w:val="Body Text Indent 2"/>
    <w:basedOn w:val="1"/>
    <w:link w:val="82"/>
    <w:autoRedefine/>
    <w:qFormat/>
    <w:uiPriority w:val="99"/>
    <w:pPr>
      <w:spacing w:line="360" w:lineRule="exact"/>
      <w:ind w:firstLine="600" w:firstLineChars="250"/>
      <w:jc w:val="left"/>
    </w:pPr>
    <w:rPr>
      <w:sz w:val="24"/>
      <w:szCs w:val="24"/>
    </w:rPr>
  </w:style>
  <w:style w:type="paragraph" w:styleId="30">
    <w:name w:val="Balloon Text"/>
    <w:basedOn w:val="1"/>
    <w:link w:val="83"/>
    <w:autoRedefine/>
    <w:semiHidden/>
    <w:qFormat/>
    <w:uiPriority w:val="99"/>
    <w:rPr>
      <w:sz w:val="18"/>
      <w:szCs w:val="18"/>
    </w:rPr>
  </w:style>
  <w:style w:type="paragraph" w:styleId="31">
    <w:name w:val="footer"/>
    <w:basedOn w:val="1"/>
    <w:link w:val="84"/>
    <w:autoRedefine/>
    <w:qFormat/>
    <w:uiPriority w:val="99"/>
    <w:pPr>
      <w:tabs>
        <w:tab w:val="center" w:pos="4153"/>
        <w:tab w:val="right" w:pos="8306"/>
      </w:tabs>
      <w:snapToGrid w:val="0"/>
      <w:jc w:val="left"/>
    </w:pPr>
    <w:rPr>
      <w:sz w:val="18"/>
      <w:szCs w:val="18"/>
    </w:rPr>
  </w:style>
  <w:style w:type="paragraph" w:styleId="32">
    <w:name w:val="header"/>
    <w:basedOn w:val="1"/>
    <w:link w:val="85"/>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semiHidden/>
    <w:qFormat/>
    <w:uiPriority w:val="99"/>
    <w:pPr>
      <w:tabs>
        <w:tab w:val="right" w:leader="dot" w:pos="8296"/>
      </w:tabs>
    </w:pPr>
    <w:rPr>
      <w:rFonts w:ascii="宋体" w:eastAsia="楷体_GB2312" w:cs="宋体"/>
      <w:b/>
      <w:bCs/>
      <w:kern w:val="0"/>
      <w:sz w:val="28"/>
      <w:szCs w:val="28"/>
    </w:rPr>
  </w:style>
  <w:style w:type="paragraph" w:styleId="34">
    <w:name w:val="toc 4"/>
    <w:basedOn w:val="1"/>
    <w:next w:val="1"/>
    <w:autoRedefine/>
    <w:semiHidden/>
    <w:qFormat/>
    <w:uiPriority w:val="99"/>
    <w:pPr>
      <w:tabs>
        <w:tab w:val="left" w:pos="1890"/>
        <w:tab w:val="right" w:leader="dot" w:pos="8296"/>
      </w:tabs>
      <w:ind w:left="630" w:leftChars="300"/>
    </w:pPr>
    <w:rPr>
      <w:rFonts w:ascii="Calibri" w:hAnsi="Calibri" w:cs="Calibri"/>
    </w:rPr>
  </w:style>
  <w:style w:type="paragraph" w:styleId="35">
    <w:name w:val="Subtitle"/>
    <w:basedOn w:val="1"/>
    <w:next w:val="1"/>
    <w:link w:val="86"/>
    <w:autoRedefine/>
    <w:qFormat/>
    <w:uiPriority w:val="99"/>
    <w:pPr>
      <w:spacing w:before="240" w:after="60" w:line="312" w:lineRule="auto"/>
      <w:jc w:val="center"/>
      <w:outlineLvl w:val="1"/>
    </w:pPr>
    <w:rPr>
      <w:rFonts w:ascii="Cambria" w:hAnsi="Cambria" w:cs="Cambria"/>
      <w:b/>
      <w:bCs/>
      <w:kern w:val="28"/>
      <w:sz w:val="32"/>
      <w:szCs w:val="32"/>
    </w:rPr>
  </w:style>
  <w:style w:type="paragraph" w:styleId="36">
    <w:name w:val="footnote text"/>
    <w:basedOn w:val="1"/>
    <w:link w:val="87"/>
    <w:autoRedefine/>
    <w:semiHidden/>
    <w:qFormat/>
    <w:uiPriority w:val="99"/>
    <w:rPr>
      <w:sz w:val="20"/>
      <w:szCs w:val="20"/>
    </w:rPr>
  </w:style>
  <w:style w:type="paragraph" w:styleId="37">
    <w:name w:val="toc 6"/>
    <w:basedOn w:val="1"/>
    <w:next w:val="1"/>
    <w:autoRedefine/>
    <w:semiHidden/>
    <w:qFormat/>
    <w:uiPriority w:val="99"/>
    <w:pPr>
      <w:ind w:left="2100" w:leftChars="1000"/>
    </w:pPr>
    <w:rPr>
      <w:rFonts w:ascii="Calibri" w:hAnsi="Calibri" w:cs="Calibri"/>
    </w:rPr>
  </w:style>
  <w:style w:type="paragraph" w:styleId="38">
    <w:name w:val="Body Text Indent 3"/>
    <w:basedOn w:val="1"/>
    <w:link w:val="88"/>
    <w:autoRedefine/>
    <w:qFormat/>
    <w:uiPriority w:val="99"/>
    <w:pPr>
      <w:spacing w:after="120"/>
      <w:ind w:left="420" w:leftChars="200"/>
    </w:pPr>
    <w:rPr>
      <w:sz w:val="16"/>
      <w:szCs w:val="16"/>
    </w:rPr>
  </w:style>
  <w:style w:type="paragraph" w:styleId="39">
    <w:name w:val="table of figures"/>
    <w:basedOn w:val="1"/>
    <w:next w:val="1"/>
    <w:autoRedefine/>
    <w:semiHidden/>
    <w:qFormat/>
    <w:uiPriority w:val="99"/>
    <w:pPr>
      <w:ind w:left="200" w:leftChars="200" w:hanging="200" w:hangingChars="200"/>
    </w:pPr>
  </w:style>
  <w:style w:type="paragraph" w:styleId="40">
    <w:name w:val="toc 2"/>
    <w:basedOn w:val="1"/>
    <w:next w:val="1"/>
    <w:autoRedefine/>
    <w:semiHidden/>
    <w:qFormat/>
    <w:uiPriority w:val="99"/>
    <w:pPr>
      <w:ind w:left="420" w:leftChars="200"/>
    </w:pPr>
    <w:rPr>
      <w:rFonts w:ascii="宋体" w:cs="宋体"/>
      <w:b/>
      <w:bCs/>
      <w:sz w:val="28"/>
      <w:szCs w:val="28"/>
    </w:rPr>
  </w:style>
  <w:style w:type="paragraph" w:styleId="41">
    <w:name w:val="toc 9"/>
    <w:basedOn w:val="1"/>
    <w:next w:val="1"/>
    <w:autoRedefine/>
    <w:semiHidden/>
    <w:qFormat/>
    <w:uiPriority w:val="99"/>
    <w:pPr>
      <w:ind w:left="3360" w:leftChars="1600"/>
    </w:pPr>
    <w:rPr>
      <w:rFonts w:ascii="Calibri" w:hAnsi="Calibri" w:cs="Calibri"/>
    </w:rPr>
  </w:style>
  <w:style w:type="paragraph" w:styleId="42">
    <w:name w:val="Body Text 2"/>
    <w:basedOn w:val="1"/>
    <w:link w:val="89"/>
    <w:autoRedefine/>
    <w:qFormat/>
    <w:uiPriority w:val="99"/>
    <w:pPr>
      <w:spacing w:line="440" w:lineRule="exact"/>
    </w:pPr>
    <w:rPr>
      <w:sz w:val="28"/>
      <w:szCs w:val="28"/>
    </w:rPr>
  </w:style>
  <w:style w:type="paragraph" w:styleId="43">
    <w:name w:val="Normal (Web)"/>
    <w:basedOn w:val="1"/>
    <w:autoRedefine/>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4">
    <w:name w:val="Title"/>
    <w:basedOn w:val="1"/>
    <w:next w:val="1"/>
    <w:link w:val="90"/>
    <w:autoRedefine/>
    <w:qFormat/>
    <w:uiPriority w:val="99"/>
    <w:pPr>
      <w:spacing w:before="240" w:after="60"/>
      <w:jc w:val="center"/>
      <w:outlineLvl w:val="0"/>
    </w:pPr>
    <w:rPr>
      <w:rFonts w:ascii="Cambria" w:hAnsi="Cambria" w:cs="Cambria"/>
      <w:b/>
      <w:bCs/>
      <w:sz w:val="32"/>
      <w:szCs w:val="32"/>
    </w:rPr>
  </w:style>
  <w:style w:type="paragraph" w:styleId="45">
    <w:name w:val="annotation subject"/>
    <w:basedOn w:val="18"/>
    <w:next w:val="18"/>
    <w:link w:val="91"/>
    <w:autoRedefine/>
    <w:semiHidden/>
    <w:qFormat/>
    <w:uiPriority w:val="99"/>
    <w:rPr>
      <w:rFonts w:ascii="宋体" w:cs="宋体"/>
      <w:b/>
      <w:bCs/>
      <w:kern w:val="0"/>
      <w:sz w:val="28"/>
      <w:szCs w:val="28"/>
    </w:rPr>
  </w:style>
  <w:style w:type="paragraph" w:styleId="46">
    <w:name w:val="Body Text First Indent"/>
    <w:basedOn w:val="20"/>
    <w:autoRedefine/>
    <w:qFormat/>
    <w:locked/>
    <w:uiPriority w:val="0"/>
    <w:pPr>
      <w:adjustRightInd/>
      <w:spacing w:after="120" w:line="240" w:lineRule="auto"/>
      <w:ind w:firstLine="420" w:firstLineChars="100"/>
      <w:jc w:val="both"/>
    </w:pPr>
  </w:style>
  <w:style w:type="table" w:styleId="48">
    <w:name w:val="Table Grid"/>
    <w:basedOn w:val="47"/>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autoRedefine/>
    <w:qFormat/>
    <w:uiPriority w:val="99"/>
    <w:rPr>
      <w:rFonts w:cs="Times New Roman"/>
      <w:b/>
      <w:bCs/>
    </w:rPr>
  </w:style>
  <w:style w:type="character" w:styleId="51">
    <w:name w:val="page number"/>
    <w:basedOn w:val="49"/>
    <w:autoRedefine/>
    <w:qFormat/>
    <w:uiPriority w:val="99"/>
    <w:rPr>
      <w:rFonts w:cs="Times New Roman"/>
    </w:rPr>
  </w:style>
  <w:style w:type="character" w:styleId="52">
    <w:name w:val="FollowedHyperlink"/>
    <w:basedOn w:val="49"/>
    <w:autoRedefine/>
    <w:qFormat/>
    <w:uiPriority w:val="99"/>
    <w:rPr>
      <w:rFonts w:cs="Times New Roman"/>
      <w:color w:val="333333"/>
      <w:u w:val="none"/>
    </w:rPr>
  </w:style>
  <w:style w:type="character" w:styleId="53">
    <w:name w:val="Emphasis"/>
    <w:basedOn w:val="49"/>
    <w:autoRedefine/>
    <w:qFormat/>
    <w:uiPriority w:val="99"/>
    <w:rPr>
      <w:rFonts w:cs="Times New Roman"/>
      <w:color w:val="auto"/>
    </w:rPr>
  </w:style>
  <w:style w:type="character" w:styleId="54">
    <w:name w:val="HTML Definition"/>
    <w:basedOn w:val="49"/>
    <w:autoRedefine/>
    <w:qFormat/>
    <w:uiPriority w:val="99"/>
    <w:rPr>
      <w:rFonts w:cs="Times New Roman"/>
    </w:rPr>
  </w:style>
  <w:style w:type="character" w:styleId="55">
    <w:name w:val="HTML Typewriter"/>
    <w:basedOn w:val="49"/>
    <w:autoRedefine/>
    <w:qFormat/>
    <w:uiPriority w:val="99"/>
    <w:rPr>
      <w:rFonts w:ascii="monospace" w:hAnsi="monospace" w:cs="monospace"/>
      <w:sz w:val="20"/>
    </w:rPr>
  </w:style>
  <w:style w:type="character" w:styleId="56">
    <w:name w:val="HTML Acronym"/>
    <w:basedOn w:val="49"/>
    <w:autoRedefine/>
    <w:qFormat/>
    <w:uiPriority w:val="99"/>
    <w:rPr>
      <w:rFonts w:cs="Times New Roman"/>
    </w:rPr>
  </w:style>
  <w:style w:type="character" w:styleId="57">
    <w:name w:val="HTML Variable"/>
    <w:basedOn w:val="49"/>
    <w:autoRedefine/>
    <w:qFormat/>
    <w:uiPriority w:val="99"/>
    <w:rPr>
      <w:rFonts w:cs="Times New Roman"/>
    </w:rPr>
  </w:style>
  <w:style w:type="character" w:styleId="58">
    <w:name w:val="Hyperlink"/>
    <w:basedOn w:val="49"/>
    <w:autoRedefine/>
    <w:qFormat/>
    <w:uiPriority w:val="99"/>
    <w:rPr>
      <w:rFonts w:cs="Times New Roman"/>
      <w:color w:val="333333"/>
      <w:u w:val="none"/>
    </w:rPr>
  </w:style>
  <w:style w:type="character" w:styleId="59">
    <w:name w:val="HTML Code"/>
    <w:basedOn w:val="49"/>
    <w:autoRedefine/>
    <w:qFormat/>
    <w:uiPriority w:val="99"/>
    <w:rPr>
      <w:rFonts w:ascii="monospace" w:hAnsi="monospace" w:cs="monospace"/>
      <w:sz w:val="20"/>
    </w:rPr>
  </w:style>
  <w:style w:type="character" w:styleId="60">
    <w:name w:val="annotation reference"/>
    <w:basedOn w:val="49"/>
    <w:autoRedefine/>
    <w:semiHidden/>
    <w:qFormat/>
    <w:uiPriority w:val="99"/>
    <w:rPr>
      <w:rFonts w:cs="Times New Roman"/>
      <w:sz w:val="21"/>
      <w:szCs w:val="21"/>
    </w:rPr>
  </w:style>
  <w:style w:type="character" w:styleId="61">
    <w:name w:val="HTML Cite"/>
    <w:basedOn w:val="49"/>
    <w:autoRedefine/>
    <w:qFormat/>
    <w:uiPriority w:val="99"/>
    <w:rPr>
      <w:rFonts w:cs="Times New Roman"/>
    </w:rPr>
  </w:style>
  <w:style w:type="character" w:styleId="62">
    <w:name w:val="footnote reference"/>
    <w:basedOn w:val="49"/>
    <w:autoRedefine/>
    <w:semiHidden/>
    <w:qFormat/>
    <w:uiPriority w:val="99"/>
    <w:rPr>
      <w:rFonts w:cs="Times New Roman"/>
      <w:vertAlign w:val="superscript"/>
    </w:rPr>
  </w:style>
  <w:style w:type="character" w:styleId="63">
    <w:name w:val="HTML Keyboard"/>
    <w:basedOn w:val="49"/>
    <w:autoRedefine/>
    <w:qFormat/>
    <w:uiPriority w:val="99"/>
    <w:rPr>
      <w:rFonts w:ascii="monospace" w:hAnsi="monospace" w:cs="monospace"/>
      <w:sz w:val="20"/>
    </w:rPr>
  </w:style>
  <w:style w:type="character" w:styleId="64">
    <w:name w:val="HTML Sample"/>
    <w:basedOn w:val="49"/>
    <w:autoRedefine/>
    <w:qFormat/>
    <w:uiPriority w:val="99"/>
    <w:rPr>
      <w:rFonts w:ascii="monospace" w:hAnsi="monospace" w:cs="monospace"/>
    </w:rPr>
  </w:style>
  <w:style w:type="paragraph" w:customStyle="1" w:styleId="65">
    <w:name w:val="列出段落1"/>
    <w:basedOn w:val="1"/>
    <w:autoRedefine/>
    <w:qFormat/>
    <w:uiPriority w:val="99"/>
    <w:pPr>
      <w:ind w:firstLine="420" w:firstLineChars="200"/>
    </w:pPr>
    <w:rPr>
      <w:rFonts w:ascii="Calibri" w:hAnsi="Calibri" w:cs="Calibri"/>
    </w:rPr>
  </w:style>
  <w:style w:type="character" w:customStyle="1" w:styleId="66">
    <w:name w:val="Heading 1 Char"/>
    <w:basedOn w:val="49"/>
    <w:link w:val="2"/>
    <w:autoRedefine/>
    <w:qFormat/>
    <w:locked/>
    <w:uiPriority w:val="99"/>
    <w:rPr>
      <w:rFonts w:ascii="Times New Roman" w:hAnsi="Times New Roman" w:eastAsia="仿宋" w:cs="Times New Roman"/>
      <w:b/>
      <w:bCs/>
      <w:kern w:val="44"/>
      <w:sz w:val="44"/>
      <w:szCs w:val="44"/>
      <w:lang w:val="en-US" w:eastAsia="zh-CN"/>
    </w:rPr>
  </w:style>
  <w:style w:type="character" w:customStyle="1" w:styleId="67">
    <w:name w:val="Heading 2 Char"/>
    <w:basedOn w:val="49"/>
    <w:link w:val="3"/>
    <w:autoRedefine/>
    <w:qFormat/>
    <w:locked/>
    <w:uiPriority w:val="99"/>
    <w:rPr>
      <w:rFonts w:ascii="Arial" w:hAnsi="Arial" w:eastAsia="黑体" w:cs="Arial"/>
      <w:b/>
      <w:bCs/>
      <w:kern w:val="2"/>
      <w:sz w:val="32"/>
      <w:szCs w:val="32"/>
      <w:lang w:val="en-US" w:eastAsia="zh-CN"/>
    </w:rPr>
  </w:style>
  <w:style w:type="character" w:customStyle="1" w:styleId="68">
    <w:name w:val="Heading 3 Char"/>
    <w:basedOn w:val="49"/>
    <w:link w:val="4"/>
    <w:autoRedefine/>
    <w:qFormat/>
    <w:locked/>
    <w:uiPriority w:val="99"/>
    <w:rPr>
      <w:rFonts w:eastAsia="宋体" w:cs="Times New Roman"/>
      <w:b/>
      <w:bCs/>
      <w:kern w:val="2"/>
      <w:sz w:val="32"/>
      <w:szCs w:val="32"/>
      <w:lang w:val="en-US" w:eastAsia="zh-CN"/>
    </w:rPr>
  </w:style>
  <w:style w:type="character" w:customStyle="1" w:styleId="69">
    <w:name w:val="Heading 4 Char"/>
    <w:basedOn w:val="49"/>
    <w:link w:val="5"/>
    <w:autoRedefine/>
    <w:qFormat/>
    <w:locked/>
    <w:uiPriority w:val="99"/>
    <w:rPr>
      <w:rFonts w:ascii="Cambria" w:hAnsi="Cambria" w:eastAsia="宋体" w:cs="Cambria"/>
      <w:b/>
      <w:bCs/>
      <w:kern w:val="2"/>
      <w:sz w:val="28"/>
      <w:szCs w:val="28"/>
      <w:lang w:val="en-US" w:eastAsia="zh-CN"/>
    </w:rPr>
  </w:style>
  <w:style w:type="character" w:customStyle="1" w:styleId="70">
    <w:name w:val="Heading 5 Char"/>
    <w:basedOn w:val="49"/>
    <w:link w:val="6"/>
    <w:autoRedefine/>
    <w:qFormat/>
    <w:locked/>
    <w:uiPriority w:val="99"/>
    <w:rPr>
      <w:rFonts w:ascii="Calibri" w:hAnsi="Calibri" w:eastAsia="宋体" w:cs="Calibri"/>
      <w:b/>
      <w:bCs/>
      <w:kern w:val="2"/>
      <w:sz w:val="28"/>
      <w:szCs w:val="28"/>
      <w:lang w:val="en-US" w:eastAsia="zh-CN"/>
    </w:rPr>
  </w:style>
  <w:style w:type="character" w:customStyle="1" w:styleId="71">
    <w:name w:val="Heading 6 Char"/>
    <w:basedOn w:val="49"/>
    <w:link w:val="7"/>
    <w:autoRedefine/>
    <w:qFormat/>
    <w:locked/>
    <w:uiPriority w:val="99"/>
    <w:rPr>
      <w:rFonts w:ascii="Cambria" w:hAnsi="Cambria" w:eastAsia="宋体" w:cs="Cambria"/>
      <w:b/>
      <w:bCs/>
      <w:kern w:val="2"/>
      <w:sz w:val="24"/>
      <w:szCs w:val="24"/>
      <w:lang w:val="en-US" w:eastAsia="zh-CN"/>
    </w:rPr>
  </w:style>
  <w:style w:type="character" w:customStyle="1" w:styleId="72">
    <w:name w:val="Heading 7 Char"/>
    <w:basedOn w:val="49"/>
    <w:link w:val="8"/>
    <w:autoRedefine/>
    <w:qFormat/>
    <w:locked/>
    <w:uiPriority w:val="99"/>
    <w:rPr>
      <w:rFonts w:ascii="Calibri" w:hAnsi="Calibri" w:eastAsia="宋体" w:cs="Calibri"/>
      <w:b/>
      <w:bCs/>
      <w:kern w:val="2"/>
      <w:sz w:val="24"/>
      <w:szCs w:val="24"/>
      <w:lang w:val="en-US" w:eastAsia="zh-CN"/>
    </w:rPr>
  </w:style>
  <w:style w:type="character" w:customStyle="1" w:styleId="73">
    <w:name w:val="Heading 8 Char"/>
    <w:basedOn w:val="49"/>
    <w:link w:val="9"/>
    <w:autoRedefine/>
    <w:qFormat/>
    <w:locked/>
    <w:uiPriority w:val="99"/>
    <w:rPr>
      <w:rFonts w:ascii="Cambria" w:hAnsi="Cambria" w:eastAsia="宋体" w:cs="Cambria"/>
      <w:kern w:val="2"/>
      <w:sz w:val="24"/>
      <w:szCs w:val="24"/>
      <w:lang w:val="en-US" w:eastAsia="zh-CN"/>
    </w:rPr>
  </w:style>
  <w:style w:type="character" w:customStyle="1" w:styleId="74">
    <w:name w:val="Heading 9 Char"/>
    <w:basedOn w:val="49"/>
    <w:link w:val="10"/>
    <w:autoRedefine/>
    <w:qFormat/>
    <w:locked/>
    <w:uiPriority w:val="99"/>
    <w:rPr>
      <w:rFonts w:ascii="Cambria" w:hAnsi="Cambria" w:eastAsia="宋体" w:cs="Cambria"/>
      <w:kern w:val="2"/>
      <w:sz w:val="21"/>
      <w:szCs w:val="21"/>
      <w:lang w:val="en-US" w:eastAsia="zh-CN"/>
    </w:rPr>
  </w:style>
  <w:style w:type="character" w:customStyle="1" w:styleId="75">
    <w:name w:val="Document Map Char"/>
    <w:basedOn w:val="49"/>
    <w:link w:val="17"/>
    <w:autoRedefine/>
    <w:qFormat/>
    <w:locked/>
    <w:uiPriority w:val="99"/>
    <w:rPr>
      <w:rFonts w:cs="Times New Roman"/>
      <w:sz w:val="24"/>
      <w:szCs w:val="24"/>
      <w:shd w:val="clear" w:color="auto" w:fill="000080"/>
    </w:rPr>
  </w:style>
  <w:style w:type="character" w:customStyle="1" w:styleId="76">
    <w:name w:val="Comment Text Char"/>
    <w:basedOn w:val="49"/>
    <w:link w:val="18"/>
    <w:autoRedefine/>
    <w:qFormat/>
    <w:locked/>
    <w:uiPriority w:val="99"/>
    <w:rPr>
      <w:rFonts w:cs="Times New Roman"/>
      <w:kern w:val="2"/>
      <w:sz w:val="22"/>
      <w:szCs w:val="22"/>
    </w:rPr>
  </w:style>
  <w:style w:type="character" w:customStyle="1" w:styleId="77">
    <w:name w:val="Body Text 3 Char"/>
    <w:basedOn w:val="49"/>
    <w:link w:val="19"/>
    <w:autoRedefine/>
    <w:semiHidden/>
    <w:qFormat/>
    <w:locked/>
    <w:uiPriority w:val="99"/>
    <w:rPr>
      <w:rFonts w:cs="Times New Roman"/>
      <w:sz w:val="16"/>
      <w:szCs w:val="16"/>
    </w:rPr>
  </w:style>
  <w:style w:type="character" w:customStyle="1" w:styleId="78">
    <w:name w:val="Body Text Char"/>
    <w:basedOn w:val="49"/>
    <w:link w:val="20"/>
    <w:autoRedefine/>
    <w:qFormat/>
    <w:locked/>
    <w:uiPriority w:val="99"/>
    <w:rPr>
      <w:rFonts w:eastAsia="宋体" w:cs="Times New Roman"/>
      <w:b/>
      <w:bCs/>
      <w:kern w:val="2"/>
      <w:sz w:val="44"/>
      <w:szCs w:val="44"/>
      <w:lang w:val="en-US" w:eastAsia="zh-CN"/>
    </w:rPr>
  </w:style>
  <w:style w:type="character" w:customStyle="1" w:styleId="79">
    <w:name w:val="Body Text Indent Char"/>
    <w:basedOn w:val="49"/>
    <w:link w:val="14"/>
    <w:autoRedefine/>
    <w:semiHidden/>
    <w:qFormat/>
    <w:locked/>
    <w:uiPriority w:val="99"/>
    <w:rPr>
      <w:rFonts w:cs="Times New Roman"/>
      <w:sz w:val="21"/>
      <w:szCs w:val="21"/>
    </w:rPr>
  </w:style>
  <w:style w:type="character" w:customStyle="1" w:styleId="80">
    <w:name w:val="Plain Text Char"/>
    <w:basedOn w:val="49"/>
    <w:link w:val="26"/>
    <w:autoRedefine/>
    <w:semiHidden/>
    <w:qFormat/>
    <w:locked/>
    <w:uiPriority w:val="99"/>
    <w:rPr>
      <w:rFonts w:ascii="宋体" w:hAnsi="Courier New" w:cs="Courier New"/>
      <w:sz w:val="21"/>
      <w:szCs w:val="21"/>
    </w:rPr>
  </w:style>
  <w:style w:type="character" w:customStyle="1" w:styleId="81">
    <w:name w:val="Date Char"/>
    <w:basedOn w:val="49"/>
    <w:link w:val="28"/>
    <w:autoRedefine/>
    <w:qFormat/>
    <w:locked/>
    <w:uiPriority w:val="99"/>
    <w:rPr>
      <w:rFonts w:ascii="仿宋_GB2312" w:eastAsia="仿宋_GB2312" w:cs="仿宋_GB2312"/>
      <w:kern w:val="2"/>
      <w:sz w:val="30"/>
      <w:szCs w:val="30"/>
      <w:lang w:val="en-US" w:eastAsia="zh-CN"/>
    </w:rPr>
  </w:style>
  <w:style w:type="character" w:customStyle="1" w:styleId="82">
    <w:name w:val="Body Text Indent 2 Char"/>
    <w:basedOn w:val="49"/>
    <w:link w:val="29"/>
    <w:autoRedefine/>
    <w:semiHidden/>
    <w:qFormat/>
    <w:locked/>
    <w:uiPriority w:val="99"/>
    <w:rPr>
      <w:rFonts w:cs="Times New Roman"/>
      <w:sz w:val="21"/>
      <w:szCs w:val="21"/>
    </w:rPr>
  </w:style>
  <w:style w:type="character" w:customStyle="1" w:styleId="83">
    <w:name w:val="Balloon Text Char"/>
    <w:basedOn w:val="49"/>
    <w:link w:val="30"/>
    <w:autoRedefine/>
    <w:semiHidden/>
    <w:qFormat/>
    <w:locked/>
    <w:uiPriority w:val="99"/>
    <w:rPr>
      <w:rFonts w:cs="Times New Roman"/>
      <w:sz w:val="2"/>
    </w:rPr>
  </w:style>
  <w:style w:type="character" w:customStyle="1" w:styleId="84">
    <w:name w:val="Footer Char"/>
    <w:basedOn w:val="49"/>
    <w:link w:val="31"/>
    <w:autoRedefine/>
    <w:qFormat/>
    <w:locked/>
    <w:uiPriority w:val="99"/>
    <w:rPr>
      <w:rFonts w:eastAsia="宋体" w:cs="Times New Roman"/>
      <w:kern w:val="2"/>
      <w:sz w:val="18"/>
      <w:szCs w:val="18"/>
      <w:lang w:val="en-US" w:eastAsia="zh-CN"/>
    </w:rPr>
  </w:style>
  <w:style w:type="character" w:customStyle="1" w:styleId="85">
    <w:name w:val="Header Char"/>
    <w:basedOn w:val="49"/>
    <w:link w:val="32"/>
    <w:autoRedefine/>
    <w:qFormat/>
    <w:locked/>
    <w:uiPriority w:val="99"/>
    <w:rPr>
      <w:rFonts w:eastAsia="宋体" w:cs="Times New Roman"/>
      <w:kern w:val="2"/>
      <w:sz w:val="18"/>
      <w:szCs w:val="18"/>
      <w:lang w:val="en-US" w:eastAsia="zh-CN"/>
    </w:rPr>
  </w:style>
  <w:style w:type="character" w:customStyle="1" w:styleId="86">
    <w:name w:val="Subtitle Char"/>
    <w:basedOn w:val="49"/>
    <w:link w:val="35"/>
    <w:autoRedefine/>
    <w:qFormat/>
    <w:locked/>
    <w:uiPriority w:val="99"/>
    <w:rPr>
      <w:rFonts w:ascii="Cambria" w:hAnsi="Cambria" w:cs="Cambria"/>
      <w:b/>
      <w:bCs/>
      <w:kern w:val="28"/>
      <w:sz w:val="32"/>
      <w:szCs w:val="32"/>
    </w:rPr>
  </w:style>
  <w:style w:type="character" w:customStyle="1" w:styleId="87">
    <w:name w:val="Footnote Text Char"/>
    <w:basedOn w:val="49"/>
    <w:link w:val="36"/>
    <w:autoRedefine/>
    <w:semiHidden/>
    <w:qFormat/>
    <w:locked/>
    <w:uiPriority w:val="99"/>
    <w:rPr>
      <w:rFonts w:cs="Times New Roman"/>
      <w:sz w:val="18"/>
      <w:szCs w:val="18"/>
    </w:rPr>
  </w:style>
  <w:style w:type="character" w:customStyle="1" w:styleId="88">
    <w:name w:val="Body Text Indent 3 Char"/>
    <w:basedOn w:val="49"/>
    <w:link w:val="38"/>
    <w:autoRedefine/>
    <w:semiHidden/>
    <w:qFormat/>
    <w:locked/>
    <w:uiPriority w:val="99"/>
    <w:rPr>
      <w:rFonts w:cs="Times New Roman"/>
      <w:sz w:val="16"/>
      <w:szCs w:val="16"/>
    </w:rPr>
  </w:style>
  <w:style w:type="character" w:customStyle="1" w:styleId="89">
    <w:name w:val="Body Text 2 Char"/>
    <w:basedOn w:val="49"/>
    <w:link w:val="42"/>
    <w:autoRedefine/>
    <w:semiHidden/>
    <w:qFormat/>
    <w:locked/>
    <w:uiPriority w:val="99"/>
    <w:rPr>
      <w:rFonts w:cs="Times New Roman"/>
      <w:sz w:val="21"/>
      <w:szCs w:val="21"/>
    </w:rPr>
  </w:style>
  <w:style w:type="character" w:customStyle="1" w:styleId="90">
    <w:name w:val="Title Char"/>
    <w:basedOn w:val="49"/>
    <w:link w:val="44"/>
    <w:autoRedefine/>
    <w:qFormat/>
    <w:locked/>
    <w:uiPriority w:val="99"/>
    <w:rPr>
      <w:rFonts w:ascii="Cambria" w:hAnsi="Cambria" w:cs="Cambria"/>
      <w:b/>
      <w:bCs/>
      <w:kern w:val="2"/>
      <w:sz w:val="32"/>
      <w:szCs w:val="32"/>
    </w:rPr>
  </w:style>
  <w:style w:type="character" w:customStyle="1" w:styleId="91">
    <w:name w:val="Comment Subject Char"/>
    <w:basedOn w:val="76"/>
    <w:link w:val="45"/>
    <w:autoRedefine/>
    <w:qFormat/>
    <w:locked/>
    <w:uiPriority w:val="99"/>
    <w:rPr>
      <w:rFonts w:ascii="宋体" w:cs="宋体"/>
      <w:b/>
      <w:bCs/>
      <w:sz w:val="28"/>
      <w:szCs w:val="28"/>
    </w:rPr>
  </w:style>
  <w:style w:type="character" w:customStyle="1" w:styleId="92">
    <w:name w:val="Body Text First Indent 2 Char"/>
    <w:basedOn w:val="79"/>
    <w:link w:val="13"/>
    <w:autoRedefine/>
    <w:semiHidden/>
    <w:qFormat/>
    <w:locked/>
    <w:uiPriority w:val="99"/>
  </w:style>
  <w:style w:type="character" w:customStyle="1" w:styleId="93">
    <w:name w:val="批注文字 Char Char"/>
    <w:autoRedefine/>
    <w:qFormat/>
    <w:uiPriority w:val="99"/>
    <w:rPr>
      <w:rFonts w:ascii="宋体" w:hAnsi="Times New Roman" w:eastAsia="宋体"/>
      <w:sz w:val="20"/>
    </w:rPr>
  </w:style>
  <w:style w:type="character" w:customStyle="1" w:styleId="94">
    <w:name w:val="标题 1 Char Char"/>
    <w:autoRedefine/>
    <w:qFormat/>
    <w:locked/>
    <w:uiPriority w:val="99"/>
    <w:rPr>
      <w:rFonts w:eastAsia="宋体"/>
      <w:b/>
      <w:kern w:val="44"/>
      <w:sz w:val="44"/>
      <w:lang w:val="en-US" w:eastAsia="zh-CN"/>
    </w:rPr>
  </w:style>
  <w:style w:type="character" w:customStyle="1" w:styleId="95">
    <w:name w:val="Char Char"/>
    <w:autoRedefine/>
    <w:qFormat/>
    <w:uiPriority w:val="99"/>
    <w:rPr>
      <w:rFonts w:ascii="Arial" w:hAnsi="Arial" w:eastAsia="黑体"/>
      <w:b/>
      <w:kern w:val="2"/>
      <w:sz w:val="32"/>
      <w:lang w:val="en-US" w:eastAsia="zh-CN"/>
    </w:rPr>
  </w:style>
  <w:style w:type="character" w:customStyle="1" w:styleId="96">
    <w:name w:val="明显参考1"/>
    <w:autoRedefine/>
    <w:qFormat/>
    <w:uiPriority w:val="99"/>
    <w:rPr>
      <w:b/>
      <w:smallCaps/>
      <w:color w:val="auto"/>
      <w:spacing w:val="5"/>
      <w:u w:val="single"/>
    </w:rPr>
  </w:style>
  <w:style w:type="character" w:customStyle="1" w:styleId="97">
    <w:name w:val="明显强调1"/>
    <w:autoRedefine/>
    <w:qFormat/>
    <w:uiPriority w:val="99"/>
    <w:rPr>
      <w:b/>
      <w:i/>
      <w:color w:val="4F81BD"/>
    </w:rPr>
  </w:style>
  <w:style w:type="character" w:customStyle="1" w:styleId="98">
    <w:name w:val="文档结构图 Char1"/>
    <w:autoRedefine/>
    <w:qFormat/>
    <w:uiPriority w:val="99"/>
    <w:rPr>
      <w:rFonts w:ascii="宋体"/>
      <w:kern w:val="2"/>
      <w:sz w:val="18"/>
    </w:rPr>
  </w:style>
  <w:style w:type="character" w:customStyle="1" w:styleId="99">
    <w:name w:val="日期 Char"/>
    <w:autoRedefine/>
    <w:qFormat/>
    <w:uiPriority w:val="99"/>
    <w:rPr>
      <w:rFonts w:ascii="仿宋_GB2312" w:eastAsia="仿宋_GB2312"/>
      <w:kern w:val="2"/>
      <w:sz w:val="30"/>
      <w:lang w:val="en-US" w:eastAsia="zh-CN"/>
    </w:rPr>
  </w:style>
  <w:style w:type="character" w:customStyle="1" w:styleId="100">
    <w:name w:val="textcontents"/>
    <w:autoRedefine/>
    <w:qFormat/>
    <w:uiPriority w:val="99"/>
  </w:style>
  <w:style w:type="character" w:customStyle="1" w:styleId="101">
    <w:name w:val="引用 Char"/>
    <w:link w:val="102"/>
    <w:autoRedefine/>
    <w:qFormat/>
    <w:locked/>
    <w:uiPriority w:val="99"/>
    <w:rPr>
      <w:i/>
      <w:color w:val="000000"/>
      <w:kern w:val="2"/>
      <w:sz w:val="22"/>
    </w:rPr>
  </w:style>
  <w:style w:type="paragraph" w:customStyle="1" w:styleId="102">
    <w:name w:val="引用1"/>
    <w:basedOn w:val="1"/>
    <w:next w:val="1"/>
    <w:link w:val="101"/>
    <w:autoRedefine/>
    <w:qFormat/>
    <w:uiPriority w:val="99"/>
    <w:rPr>
      <w:i/>
      <w:color w:val="000000"/>
      <w:sz w:val="22"/>
      <w:szCs w:val="20"/>
    </w:rPr>
  </w:style>
  <w:style w:type="character" w:customStyle="1" w:styleId="103">
    <w:name w:val="日期 Char1"/>
    <w:autoRedefine/>
    <w:qFormat/>
    <w:uiPriority w:val="99"/>
    <w:rPr>
      <w:kern w:val="2"/>
      <w:sz w:val="22"/>
    </w:rPr>
  </w:style>
  <w:style w:type="character" w:customStyle="1" w:styleId="104">
    <w:name w:val="不明显参考1"/>
    <w:autoRedefine/>
    <w:qFormat/>
    <w:uiPriority w:val="99"/>
    <w:rPr>
      <w:smallCaps/>
      <w:color w:val="auto"/>
      <w:u w:val="single"/>
    </w:rPr>
  </w:style>
  <w:style w:type="character" w:customStyle="1" w:styleId="105">
    <w:name w:val="批注框文本 Char1"/>
    <w:autoRedefine/>
    <w:qFormat/>
    <w:uiPriority w:val="99"/>
    <w:rPr>
      <w:kern w:val="2"/>
      <w:sz w:val="18"/>
    </w:rPr>
  </w:style>
  <w:style w:type="character" w:customStyle="1" w:styleId="106">
    <w:name w:val="不明显强调1"/>
    <w:autoRedefine/>
    <w:qFormat/>
    <w:uiPriority w:val="99"/>
    <w:rPr>
      <w:i/>
      <w:color w:val="808080"/>
    </w:rPr>
  </w:style>
  <w:style w:type="character" w:customStyle="1" w:styleId="107">
    <w:name w:val="标题4 Char Char"/>
    <w:link w:val="108"/>
    <w:autoRedefine/>
    <w:qFormat/>
    <w:locked/>
    <w:uiPriority w:val="99"/>
    <w:rPr>
      <w:rFonts w:ascii="Arial" w:hAnsi="Arial"/>
      <w:b/>
      <w:sz w:val="32"/>
    </w:rPr>
  </w:style>
  <w:style w:type="paragraph" w:customStyle="1" w:styleId="108">
    <w:name w:val="标题4"/>
    <w:basedOn w:val="3"/>
    <w:next w:val="23"/>
    <w:link w:val="107"/>
    <w:autoRedefine/>
    <w:qFormat/>
    <w:uiPriority w:val="99"/>
    <w:pPr>
      <w:spacing w:line="413" w:lineRule="auto"/>
    </w:pPr>
    <w:rPr>
      <w:rFonts w:eastAsia="宋体" w:cs="Times New Roman"/>
      <w:bCs w:val="0"/>
      <w:kern w:val="0"/>
      <w:szCs w:val="20"/>
    </w:rPr>
  </w:style>
  <w:style w:type="character" w:customStyle="1" w:styleId="109">
    <w:name w:val="书籍标题1"/>
    <w:autoRedefine/>
    <w:qFormat/>
    <w:uiPriority w:val="99"/>
    <w:rPr>
      <w:b/>
      <w:smallCaps/>
      <w:spacing w:val="5"/>
    </w:rPr>
  </w:style>
  <w:style w:type="character" w:customStyle="1" w:styleId="110">
    <w:name w:val="bigfont"/>
    <w:basedOn w:val="49"/>
    <w:autoRedefine/>
    <w:qFormat/>
    <w:uiPriority w:val="99"/>
    <w:rPr>
      <w:rFonts w:cs="Times New Roman"/>
    </w:rPr>
  </w:style>
  <w:style w:type="character" w:customStyle="1" w:styleId="111">
    <w:name w:val="news_title1"/>
    <w:autoRedefine/>
    <w:qFormat/>
    <w:uiPriority w:val="99"/>
    <w:rPr>
      <w:rFonts w:ascii="宋体" w:hAnsi="宋体" w:eastAsia="宋体"/>
      <w:b/>
      <w:color w:val="000000"/>
      <w:sz w:val="36"/>
      <w:u w:val="none"/>
    </w:rPr>
  </w:style>
  <w:style w:type="character" w:customStyle="1" w:styleId="112">
    <w:name w:val="标题5 Char Char"/>
    <w:link w:val="113"/>
    <w:autoRedefine/>
    <w:qFormat/>
    <w:locked/>
    <w:uiPriority w:val="99"/>
    <w:rPr>
      <w:rFonts w:ascii="Arial" w:hAnsi="Arial"/>
      <w:b/>
      <w:sz w:val="32"/>
    </w:rPr>
  </w:style>
  <w:style w:type="paragraph" w:customStyle="1" w:styleId="113">
    <w:name w:val="标题5"/>
    <w:basedOn w:val="4"/>
    <w:link w:val="112"/>
    <w:autoRedefine/>
    <w:qFormat/>
    <w:uiPriority w:val="99"/>
    <w:pPr>
      <w:spacing w:line="413" w:lineRule="auto"/>
    </w:pPr>
    <w:rPr>
      <w:rFonts w:ascii="Arial" w:hAnsi="Arial"/>
      <w:bCs w:val="0"/>
      <w:kern w:val="0"/>
      <w:szCs w:val="20"/>
    </w:rPr>
  </w:style>
  <w:style w:type="character" w:customStyle="1" w:styleId="114">
    <w:name w:val="font161"/>
    <w:autoRedefine/>
    <w:qFormat/>
    <w:uiPriority w:val="99"/>
    <w:rPr>
      <w:b/>
      <w:sz w:val="32"/>
    </w:rPr>
  </w:style>
  <w:style w:type="character" w:customStyle="1" w:styleId="115">
    <w:name w:val="标题 2 Char Char"/>
    <w:autoRedefine/>
    <w:qFormat/>
    <w:locked/>
    <w:uiPriority w:val="99"/>
    <w:rPr>
      <w:rFonts w:ascii="Arial" w:hAnsi="Arial" w:eastAsia="黑体"/>
      <w:b/>
      <w:kern w:val="2"/>
      <w:sz w:val="32"/>
      <w:lang w:val="en-US" w:eastAsia="zh-CN"/>
    </w:rPr>
  </w:style>
  <w:style w:type="character" w:customStyle="1" w:styleId="116">
    <w:name w:val="Char Char1"/>
    <w:autoRedefine/>
    <w:qFormat/>
    <w:uiPriority w:val="99"/>
    <w:rPr>
      <w:rFonts w:ascii="宋体" w:hAnsi="Times New Roman"/>
      <w:sz w:val="28"/>
    </w:rPr>
  </w:style>
  <w:style w:type="character" w:customStyle="1" w:styleId="117">
    <w:name w:val="明显引用 Char"/>
    <w:link w:val="118"/>
    <w:autoRedefine/>
    <w:qFormat/>
    <w:locked/>
    <w:uiPriority w:val="99"/>
    <w:rPr>
      <w:b/>
      <w:i/>
      <w:color w:val="4F81BD"/>
      <w:kern w:val="2"/>
      <w:sz w:val="22"/>
    </w:rPr>
  </w:style>
  <w:style w:type="paragraph" w:customStyle="1" w:styleId="118">
    <w:name w:val="明显引用1"/>
    <w:basedOn w:val="1"/>
    <w:next w:val="1"/>
    <w:link w:val="117"/>
    <w:autoRedefine/>
    <w:qFormat/>
    <w:uiPriority w:val="99"/>
    <w:pPr>
      <w:pBdr>
        <w:bottom w:val="single" w:color="4F81BD" w:sz="4" w:space="4"/>
      </w:pBdr>
      <w:spacing w:before="200" w:after="280"/>
      <w:ind w:left="936" w:right="936"/>
    </w:pPr>
    <w:rPr>
      <w:b/>
      <w:i/>
      <w:color w:val="4F81BD"/>
      <w:sz w:val="22"/>
      <w:szCs w:val="20"/>
    </w:rPr>
  </w:style>
  <w:style w:type="character" w:customStyle="1" w:styleId="119">
    <w:name w:val="批注主题 Char1"/>
    <w:autoRedefine/>
    <w:qFormat/>
    <w:uiPriority w:val="99"/>
    <w:rPr>
      <w:b/>
      <w:kern w:val="2"/>
      <w:sz w:val="22"/>
    </w:rPr>
  </w:style>
  <w:style w:type="character" w:customStyle="1" w:styleId="120">
    <w:name w:val="正文文本 Char1"/>
    <w:autoRedefine/>
    <w:qFormat/>
    <w:uiPriority w:val="99"/>
    <w:rPr>
      <w:kern w:val="2"/>
      <w:sz w:val="22"/>
    </w:rPr>
  </w:style>
  <w:style w:type="paragraph" w:customStyle="1" w:styleId="121">
    <w:name w:val="默认段落字体 Para Char Char Char Char"/>
    <w:basedOn w:val="1"/>
    <w:autoRedefine/>
    <w:qFormat/>
    <w:uiPriority w:val="99"/>
  </w:style>
  <w:style w:type="paragraph" w:customStyle="1" w:styleId="122">
    <w:name w:val="Char Char Char Char Char Char Char Char Char Char Char Char Char"/>
    <w:basedOn w:val="1"/>
    <w:autoRedefine/>
    <w:qFormat/>
    <w:uiPriority w:val="99"/>
  </w:style>
  <w:style w:type="paragraph" w:customStyle="1" w:styleId="123">
    <w:name w:val="样式 标题 3 + (中文) 黑体 小四 非加粗 段前: 7.8 磅 段后: 0 磅 行距: 固定值 20 磅"/>
    <w:basedOn w:val="4"/>
    <w:autoRedefine/>
    <w:qFormat/>
    <w:uiPriority w:val="99"/>
    <w:pPr>
      <w:spacing w:before="0" w:after="0" w:line="400" w:lineRule="exact"/>
    </w:pPr>
    <w:rPr>
      <w:rFonts w:eastAsia="黑体"/>
      <w:b w:val="0"/>
      <w:bCs w:val="0"/>
      <w:sz w:val="24"/>
      <w:szCs w:val="24"/>
    </w:rPr>
  </w:style>
  <w:style w:type="paragraph" w:customStyle="1" w:styleId="124">
    <w:name w:val="表格文字"/>
    <w:basedOn w:val="1"/>
    <w:autoRedefine/>
    <w:qFormat/>
    <w:uiPriority w:val="99"/>
    <w:pPr>
      <w:adjustRightInd w:val="0"/>
      <w:spacing w:line="420" w:lineRule="atLeast"/>
      <w:jc w:val="left"/>
      <w:textAlignment w:val="baseline"/>
    </w:pPr>
    <w:rPr>
      <w:kern w:val="0"/>
    </w:rPr>
  </w:style>
  <w:style w:type="paragraph" w:customStyle="1" w:styleId="125">
    <w:name w:val="修订1"/>
    <w:autoRedefine/>
    <w:qFormat/>
    <w:uiPriority w:val="99"/>
    <w:rPr>
      <w:rFonts w:ascii="Times New Roman" w:hAnsi="Times New Roman" w:eastAsia="宋体" w:cs="Times New Roman"/>
      <w:kern w:val="2"/>
      <w:sz w:val="21"/>
      <w:szCs w:val="21"/>
      <w:lang w:val="en-US" w:eastAsia="zh-CN" w:bidi="ar-SA"/>
    </w:rPr>
  </w:style>
  <w:style w:type="paragraph" w:customStyle="1" w:styleId="126">
    <w:name w:val="Char"/>
    <w:basedOn w:val="1"/>
    <w:next w:val="1"/>
    <w:autoRedefine/>
    <w:qFormat/>
    <w:uiPriority w:val="99"/>
    <w:pPr>
      <w:widowControl/>
      <w:spacing w:line="360" w:lineRule="auto"/>
      <w:jc w:val="left"/>
    </w:pPr>
    <w:rPr>
      <w:kern w:val="0"/>
      <w:lang w:eastAsia="en-US"/>
    </w:rPr>
  </w:style>
  <w:style w:type="paragraph" w:customStyle="1" w:styleId="127">
    <w:name w:val="样式2"/>
    <w:basedOn w:val="4"/>
    <w:autoRedefine/>
    <w:qFormat/>
    <w:uiPriority w:val="99"/>
    <w:pPr>
      <w:spacing w:line="413" w:lineRule="auto"/>
    </w:pPr>
  </w:style>
  <w:style w:type="paragraph" w:customStyle="1" w:styleId="128">
    <w:name w:val="6'"/>
    <w:basedOn w:val="1"/>
    <w:autoRedefine/>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9">
    <w:name w:val="表格"/>
    <w:basedOn w:val="1"/>
    <w:autoRedefine/>
    <w:qFormat/>
    <w:uiPriority w:val="99"/>
    <w:pPr>
      <w:jc w:val="center"/>
      <w:textAlignment w:val="center"/>
    </w:pPr>
    <w:rPr>
      <w:rFonts w:ascii="华文细黑" w:hAnsi="华文细黑" w:cs="华文细黑"/>
      <w:kern w:val="0"/>
    </w:rPr>
  </w:style>
  <w:style w:type="paragraph" w:customStyle="1" w:styleId="130">
    <w:name w:val="Blockquote"/>
    <w:basedOn w:val="1"/>
    <w:autoRedefine/>
    <w:qFormat/>
    <w:uiPriority w:val="99"/>
    <w:pPr>
      <w:autoSpaceDE w:val="0"/>
      <w:autoSpaceDN w:val="0"/>
      <w:adjustRightInd w:val="0"/>
      <w:spacing w:before="100" w:after="100"/>
      <w:ind w:left="360" w:right="360"/>
      <w:jc w:val="left"/>
    </w:pPr>
    <w:rPr>
      <w:kern w:val="0"/>
      <w:sz w:val="24"/>
      <w:szCs w:val="24"/>
    </w:rPr>
  </w:style>
  <w:style w:type="paragraph" w:customStyle="1" w:styleId="131">
    <w:name w:val="1"/>
    <w:basedOn w:val="1"/>
    <w:next w:val="1"/>
    <w:autoRedefine/>
    <w:qFormat/>
    <w:uiPriority w:val="99"/>
  </w:style>
  <w:style w:type="paragraph" w:customStyle="1" w:styleId="132">
    <w:name w:val="样式1"/>
    <w:basedOn w:val="4"/>
    <w:autoRedefine/>
    <w:qFormat/>
    <w:uiPriority w:val="99"/>
    <w:pPr>
      <w:spacing w:line="413" w:lineRule="auto"/>
    </w:pPr>
  </w:style>
  <w:style w:type="paragraph" w:customStyle="1" w:styleId="133">
    <w:name w:val="flNote"/>
    <w:basedOn w:val="1"/>
    <w:autoRedefine/>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34">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135">
    <w:name w:val="样式4"/>
    <w:basedOn w:val="4"/>
    <w:autoRedefine/>
    <w:qFormat/>
    <w:uiPriority w:val="99"/>
    <w:pPr>
      <w:spacing w:line="413" w:lineRule="auto"/>
    </w:pPr>
  </w:style>
  <w:style w:type="paragraph" w:customStyle="1" w:styleId="136">
    <w:name w:val="TOC 标题1"/>
    <w:basedOn w:val="2"/>
    <w:next w:val="1"/>
    <w:autoRedefine/>
    <w:qFormat/>
    <w:uiPriority w:val="99"/>
    <w:pPr>
      <w:spacing w:line="576" w:lineRule="auto"/>
      <w:outlineLvl w:val="9"/>
    </w:pPr>
    <w:rPr>
      <w:rFonts w:ascii="Calibri" w:hAnsi="Calibri" w:cs="Calibri"/>
    </w:rPr>
  </w:style>
  <w:style w:type="paragraph" w:customStyle="1" w:styleId="137">
    <w:name w:val="样式 标题 1 + 黑体 三号 非加粗 居中 段前: 6 磅 段后: 6 磅 行距: 固定值 20 磅"/>
    <w:basedOn w:val="2"/>
    <w:autoRedefine/>
    <w:qFormat/>
    <w:uiPriority w:val="99"/>
    <w:pPr>
      <w:spacing w:before="120" w:after="120" w:line="400" w:lineRule="exact"/>
    </w:pPr>
    <w:rPr>
      <w:rFonts w:ascii="黑体" w:hAnsi="黑体" w:eastAsia="黑体" w:cs="黑体"/>
      <w:b w:val="0"/>
      <w:bCs w:val="0"/>
      <w:sz w:val="32"/>
      <w:szCs w:val="32"/>
    </w:rPr>
  </w:style>
  <w:style w:type="paragraph" w:customStyle="1" w:styleId="138">
    <w:name w:val="样式 标题 2 + Times New Roman 四号 非加粗 段前: 5 磅 段后: 0 磅 行距: 固定值 20..."/>
    <w:basedOn w:val="3"/>
    <w:autoRedefine/>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9">
    <w:name w:val="Char Char Char Char Char Char Char Char Char Char Char Char Char1"/>
    <w:basedOn w:val="17"/>
    <w:autoRedefine/>
    <w:qFormat/>
    <w:uiPriority w:val="99"/>
    <w:rPr>
      <w:rFonts w:ascii="Tahoma" w:hAnsi="Tahoma" w:cs="Tahoma"/>
      <w:sz w:val="24"/>
      <w:szCs w:val="24"/>
      <w:shd w:val="clear" w:color="auto" w:fill="auto"/>
    </w:rPr>
  </w:style>
  <w:style w:type="paragraph" w:customStyle="1" w:styleId="140">
    <w:name w:val="Char1"/>
    <w:basedOn w:val="1"/>
    <w:autoRedefine/>
    <w:qFormat/>
    <w:uiPriority w:val="99"/>
    <w:rPr>
      <w:rFonts w:ascii="Tahoma" w:hAnsi="Tahoma" w:cs="Tahoma"/>
      <w:sz w:val="24"/>
      <w:szCs w:val="24"/>
    </w:rPr>
  </w:style>
  <w:style w:type="paragraph" w:customStyle="1" w:styleId="141">
    <w:name w:val="空半行"/>
    <w:basedOn w:val="1"/>
    <w:autoRedefine/>
    <w:qFormat/>
    <w:uiPriority w:val="99"/>
    <w:pPr>
      <w:adjustRightInd w:val="0"/>
      <w:spacing w:line="120" w:lineRule="exact"/>
      <w:textAlignment w:val="baseline"/>
    </w:pPr>
    <w:rPr>
      <w:rFonts w:eastAsia="仿宋_GB2312"/>
      <w:color w:val="FFFFFF"/>
      <w:kern w:val="0"/>
      <w:sz w:val="30"/>
      <w:szCs w:val="30"/>
    </w:rPr>
  </w:style>
  <w:style w:type="paragraph" w:customStyle="1" w:styleId="142">
    <w:name w:val="样式3"/>
    <w:basedOn w:val="4"/>
    <w:autoRedefine/>
    <w:qFormat/>
    <w:uiPriority w:val="99"/>
    <w:pPr>
      <w:spacing w:line="413" w:lineRule="auto"/>
    </w:pPr>
  </w:style>
  <w:style w:type="paragraph" w:customStyle="1" w:styleId="143">
    <w:name w:val="正文1"/>
    <w:autoRedefine/>
    <w:qFormat/>
    <w:uiPriority w:val="99"/>
    <w:pPr>
      <w:widowControl w:val="0"/>
      <w:adjustRightInd w:val="0"/>
      <w:spacing w:line="312" w:lineRule="atLeast"/>
      <w:jc w:val="both"/>
      <w:textAlignment w:val="baseline"/>
    </w:pPr>
    <w:rPr>
      <w:rFonts w:ascii="宋体" w:hAnsi="Times New Roman" w:eastAsia="宋体" w:cs="宋体"/>
      <w:kern w:val="0"/>
      <w:sz w:val="24"/>
      <w:szCs w:val="24"/>
      <w:lang w:val="en-US" w:eastAsia="zh-CN" w:bidi="ar-SA"/>
    </w:rPr>
  </w:style>
  <w:style w:type="paragraph" w:customStyle="1" w:styleId="144">
    <w:name w:val="列出段落2"/>
    <w:basedOn w:val="1"/>
    <w:autoRedefine/>
    <w:qFormat/>
    <w:uiPriority w:val="99"/>
    <w:pPr>
      <w:ind w:firstLine="200" w:firstLineChars="200"/>
    </w:pPr>
  </w:style>
  <w:style w:type="paragraph" w:customStyle="1" w:styleId="145">
    <w:name w:val="p0"/>
    <w:basedOn w:val="1"/>
    <w:autoRedefine/>
    <w:qFormat/>
    <w:uiPriority w:val="99"/>
    <w:pPr>
      <w:widowControl/>
    </w:pPr>
    <w:rPr>
      <w:kern w:val="0"/>
    </w:rPr>
  </w:style>
  <w:style w:type="paragraph" w:customStyle="1" w:styleId="146">
    <w:name w:val="节标题"/>
    <w:basedOn w:val="1"/>
    <w:next w:val="1"/>
    <w:autoRedefine/>
    <w:qFormat/>
    <w:uiPriority w:val="99"/>
    <w:pPr>
      <w:widowControl/>
      <w:spacing w:line="289" w:lineRule="atLeast"/>
      <w:jc w:val="center"/>
      <w:textAlignment w:val="baseline"/>
    </w:pPr>
    <w:rPr>
      <w:color w:val="000000"/>
      <w:kern w:val="0"/>
      <w:sz w:val="28"/>
      <w:szCs w:val="20"/>
    </w:rPr>
  </w:style>
  <w:style w:type="paragraph" w:customStyle="1" w:styleId="147">
    <w:name w:val="WPSOffice手动目录 1"/>
    <w:autoRedefine/>
    <w:qFormat/>
    <w:uiPriority w:val="99"/>
    <w:rPr>
      <w:rFonts w:ascii="Times New Roman" w:hAnsi="Times New Roman" w:eastAsia="宋体" w:cs="Times New Roman"/>
      <w:kern w:val="0"/>
      <w:sz w:val="20"/>
      <w:szCs w:val="20"/>
      <w:lang w:val="en-US" w:eastAsia="zh-CN" w:bidi="ar-SA"/>
    </w:rPr>
  </w:style>
  <w:style w:type="paragraph" w:customStyle="1" w:styleId="148">
    <w:name w:val="WPSOffice手动目录 2"/>
    <w:autoRedefine/>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49">
    <w:name w:val="WPSOffice手动目录 3"/>
    <w:autoRedefine/>
    <w:qFormat/>
    <w:uiPriority w:val="99"/>
    <w:pPr>
      <w:ind w:left="400" w:leftChars="400"/>
    </w:pPr>
    <w:rPr>
      <w:rFonts w:ascii="Times New Roman" w:hAnsi="Times New Roman" w:eastAsia="宋体" w:cs="Times New Roman"/>
      <w:kern w:val="0"/>
      <w:sz w:val="20"/>
      <w:szCs w:val="20"/>
      <w:lang w:val="en-US" w:eastAsia="zh-CN" w:bidi="ar-SA"/>
    </w:rPr>
  </w:style>
  <w:style w:type="character" w:customStyle="1" w:styleId="150">
    <w:name w:val="font12"/>
    <w:basedOn w:val="49"/>
    <w:autoRedefine/>
    <w:qFormat/>
    <w:uiPriority w:val="0"/>
    <w:rPr>
      <w:rFonts w:hint="eastAsia" w:ascii="仿宋" w:hAnsi="仿宋" w:eastAsia="仿宋" w:cs="仿宋"/>
      <w:b/>
      <w:color w:val="000000"/>
      <w:sz w:val="32"/>
      <w:szCs w:val="32"/>
      <w:u w:val="none"/>
    </w:rPr>
  </w:style>
  <w:style w:type="paragraph" w:customStyle="1" w:styleId="151">
    <w:name w:val="Char1 Char Char Char"/>
    <w:basedOn w:val="1"/>
    <w:autoRedefine/>
    <w:qFormat/>
    <w:uiPriority w:val="0"/>
    <w:pPr>
      <w:widowControl/>
      <w:spacing w:after="160" w:line="240" w:lineRule="exact"/>
      <w:jc w:val="left"/>
    </w:pPr>
    <w:rPr>
      <w:rFonts w:ascii="Verdana" w:hAnsi="Verdana"/>
      <w:kern w:val="0"/>
      <w:sz w:val="30"/>
      <w:szCs w:val="30"/>
      <w:lang w:eastAsia="en-US"/>
    </w:rPr>
  </w:style>
  <w:style w:type="character" w:customStyle="1" w:styleId="152">
    <w:name w:val="font101"/>
    <w:basedOn w:val="49"/>
    <w:autoRedefine/>
    <w:qFormat/>
    <w:uiPriority w:val="0"/>
    <w:rPr>
      <w:rFonts w:hint="default" w:ascii="Times New Roman" w:hAnsi="Times New Roman" w:cs="Times New Roman"/>
      <w:color w:val="000000"/>
      <w:sz w:val="24"/>
      <w:szCs w:val="24"/>
      <w:u w:val="none"/>
    </w:rPr>
  </w:style>
  <w:style w:type="character" w:customStyle="1" w:styleId="153">
    <w:name w:val="font111"/>
    <w:basedOn w:val="49"/>
    <w:autoRedefine/>
    <w:qFormat/>
    <w:uiPriority w:val="0"/>
    <w:rPr>
      <w:rFonts w:ascii="仿宋_GB2312" w:eastAsia="仿宋_GB2312" w:cs="仿宋_GB2312"/>
      <w:color w:val="000000"/>
      <w:sz w:val="24"/>
      <w:szCs w:val="24"/>
      <w:u w:val="none"/>
    </w:rPr>
  </w:style>
  <w:style w:type="character" w:customStyle="1" w:styleId="154">
    <w:name w:val="font91"/>
    <w:basedOn w:val="49"/>
    <w:autoRedefine/>
    <w:qFormat/>
    <w:uiPriority w:val="0"/>
    <w:rPr>
      <w:rFonts w:hint="eastAsia" w:ascii="仿宋" w:hAnsi="仿宋" w:eastAsia="仿宋" w:cs="仿宋"/>
      <w:color w:val="000000"/>
      <w:sz w:val="24"/>
      <w:szCs w:val="24"/>
      <w:u w:val="single"/>
    </w:rPr>
  </w:style>
  <w:style w:type="character" w:customStyle="1" w:styleId="155">
    <w:name w:val="font81"/>
    <w:basedOn w:val="49"/>
    <w:autoRedefine/>
    <w:qFormat/>
    <w:uiPriority w:val="0"/>
    <w:rPr>
      <w:rFonts w:hint="eastAsia" w:ascii="仿宋" w:hAnsi="仿宋" w:eastAsia="仿宋" w:cs="仿宋"/>
      <w:color w:val="000000"/>
      <w:sz w:val="24"/>
      <w:szCs w:val="24"/>
      <w:u w:val="none"/>
    </w:rPr>
  </w:style>
  <w:style w:type="paragraph" w:customStyle="1" w:styleId="156">
    <w:name w:val="Table Paragraph"/>
    <w:basedOn w:val="1"/>
    <w:autoRedefine/>
    <w:qFormat/>
    <w:uiPriority w:val="1"/>
    <w:pPr>
      <w:autoSpaceDE w:val="0"/>
      <w:autoSpaceDN w:val="0"/>
      <w:jc w:val="left"/>
    </w:pPr>
    <w:rPr>
      <w:rFonts w:ascii="宋体" w:hAnsi="宋体" w:cs="宋体"/>
      <w:kern w:val="0"/>
      <w:sz w:val="22"/>
      <w:szCs w:val="22"/>
    </w:rPr>
  </w:style>
  <w:style w:type="paragraph" w:customStyle="1" w:styleId="157">
    <w:name w:val="正文文字 8"/>
    <w:basedOn w:val="1"/>
    <w:next w:val="1"/>
    <w:autoRedefine/>
    <w:qFormat/>
    <w:uiPriority w:val="0"/>
    <w:pPr>
      <w:ind w:left="240"/>
    </w:pPr>
    <w:rPr>
      <w:sz w:val="16"/>
    </w:rPr>
  </w:style>
  <w:style w:type="character" w:customStyle="1" w:styleId="158">
    <w:name w:val="font21"/>
    <w:basedOn w:val="49"/>
    <w:autoRedefine/>
    <w:qFormat/>
    <w:uiPriority w:val="0"/>
    <w:rPr>
      <w:rFonts w:ascii="宋体" w:hAnsi="宋体" w:eastAsia="宋体" w:cs="宋体"/>
      <w:b/>
      <w:bCs/>
      <w:color w:val="000000"/>
      <w:sz w:val="18"/>
      <w:szCs w:val="18"/>
      <w:u w:val="none"/>
    </w:rPr>
  </w:style>
  <w:style w:type="character" w:customStyle="1" w:styleId="159">
    <w:name w:val="font31"/>
    <w:basedOn w:val="49"/>
    <w:autoRedefine/>
    <w:qFormat/>
    <w:uiPriority w:val="0"/>
    <w:rPr>
      <w:rFonts w:ascii="宋体" w:hAnsi="宋体" w:eastAsia="宋体" w:cs="宋体"/>
      <w:color w:val="000000"/>
      <w:sz w:val="18"/>
      <w:szCs w:val="18"/>
      <w:u w:val="none"/>
    </w:rPr>
  </w:style>
  <w:style w:type="character" w:customStyle="1" w:styleId="160">
    <w:name w:val="font41"/>
    <w:basedOn w:val="49"/>
    <w:autoRedefine/>
    <w:qFormat/>
    <w:uiPriority w:val="0"/>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36</Pages>
  <Words>18627</Words>
  <Characters>19534</Characters>
  <Lines>0</Lines>
  <Paragraphs>0</Paragraphs>
  <TotalTime>22</TotalTime>
  <ScaleCrop>false</ScaleCrop>
  <LinksUpToDate>false</LinksUpToDate>
  <CharactersWithSpaces>21002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毛毛</cp:lastModifiedBy>
  <cp:lastPrinted>2022-05-12T10:33:00Z</cp:lastPrinted>
  <dcterms:modified xsi:type="dcterms:W3CDTF">2024-04-26T08:53:49Z</dcterms:modified>
  <dc:title>创业园小区9#楼工程施工</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4F403931894E437F80EF16419C10C226</vt:lpwstr>
  </property>
</Properties>
</file>